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BC36C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5A03DCA7">
      <w:pPr>
        <w:jc w:val="center"/>
        <w:rPr>
          <w:rFonts w:eastAsia="楷体"/>
          <w:b/>
          <w:sz w:val="52"/>
          <w:szCs w:val="52"/>
        </w:rPr>
      </w:pPr>
    </w:p>
    <w:p w14:paraId="3ED99F76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4B89CD4A">
      <w:pPr>
        <w:jc w:val="center"/>
        <w:rPr>
          <w:rFonts w:eastAsia="楷体"/>
          <w:sz w:val="52"/>
          <w:szCs w:val="52"/>
        </w:rPr>
      </w:pPr>
    </w:p>
    <w:p w14:paraId="17F718EA">
      <w:pPr>
        <w:jc w:val="center"/>
        <w:rPr>
          <w:rFonts w:eastAsia="楷体"/>
          <w:sz w:val="28"/>
          <w:szCs w:val="28"/>
        </w:rPr>
      </w:pPr>
    </w:p>
    <w:p w14:paraId="0C2B2BFF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WGA荧光染色</w:t>
      </w:r>
    </w:p>
    <w:p w14:paraId="3BD26C49">
      <w:pPr>
        <w:rPr>
          <w:rFonts w:hint="eastAsia" w:eastAsia="楷体"/>
          <w:sz w:val="28"/>
          <w:szCs w:val="28"/>
          <w:lang w:eastAsia="zh-CN"/>
        </w:rPr>
      </w:pPr>
      <w:r>
        <w:rPr>
          <w:rFonts w:eastAsia="楷体"/>
          <w:sz w:val="28"/>
          <w:szCs w:val="28"/>
        </w:rPr>
        <w:t>委托方（甲方）：</w:t>
      </w:r>
    </w:p>
    <w:p w14:paraId="24B81321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001539F6">
      <w:pPr>
        <w:rPr>
          <w:rFonts w:eastAsia="楷体"/>
          <w:sz w:val="28"/>
          <w:szCs w:val="28"/>
        </w:rPr>
      </w:pPr>
    </w:p>
    <w:p w14:paraId="1A66BE9C">
      <w:pPr>
        <w:rPr>
          <w:rFonts w:eastAsia="楷体"/>
          <w:sz w:val="28"/>
          <w:szCs w:val="28"/>
        </w:rPr>
      </w:pPr>
    </w:p>
    <w:p w14:paraId="63458419">
      <w:pPr>
        <w:rPr>
          <w:rFonts w:eastAsia="楷体"/>
          <w:sz w:val="28"/>
          <w:szCs w:val="28"/>
        </w:rPr>
      </w:pPr>
    </w:p>
    <w:p w14:paraId="07A33F0F">
      <w:pPr>
        <w:rPr>
          <w:rFonts w:eastAsia="楷体"/>
          <w:sz w:val="28"/>
          <w:szCs w:val="28"/>
        </w:rPr>
      </w:pPr>
    </w:p>
    <w:p w14:paraId="0108308E">
      <w:pPr>
        <w:rPr>
          <w:rFonts w:eastAsia="楷体"/>
          <w:sz w:val="28"/>
          <w:szCs w:val="28"/>
        </w:rPr>
      </w:pPr>
    </w:p>
    <w:p w14:paraId="00060D7B">
      <w:pPr>
        <w:spacing w:line="360" w:lineRule="auto"/>
        <w:rPr>
          <w:rFonts w:eastAsia="楷体"/>
          <w:sz w:val="28"/>
          <w:szCs w:val="28"/>
        </w:rPr>
      </w:pPr>
    </w:p>
    <w:p w14:paraId="272E0750">
      <w:pPr>
        <w:spacing w:line="360" w:lineRule="auto"/>
        <w:rPr>
          <w:rFonts w:eastAsia="楷体"/>
          <w:sz w:val="28"/>
          <w:szCs w:val="28"/>
        </w:rPr>
      </w:pPr>
    </w:p>
    <w:p w14:paraId="1D6CE7F6">
      <w:pPr>
        <w:spacing w:line="360" w:lineRule="auto"/>
        <w:rPr>
          <w:rFonts w:eastAsia="楷体"/>
          <w:sz w:val="28"/>
          <w:szCs w:val="28"/>
        </w:rPr>
      </w:pPr>
    </w:p>
    <w:p w14:paraId="7A16AA3D">
      <w:pPr>
        <w:spacing w:line="360" w:lineRule="auto"/>
        <w:rPr>
          <w:rFonts w:eastAsia="楷体"/>
          <w:sz w:val="28"/>
          <w:szCs w:val="28"/>
        </w:rPr>
      </w:pPr>
    </w:p>
    <w:p w14:paraId="7C38F590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3D459DE3">
      <w:pPr>
        <w:spacing w:line="360" w:lineRule="auto"/>
        <w:ind w:firstLine="5040" w:firstLineChars="1800"/>
        <w:jc w:val="center"/>
        <w:rPr>
          <w:rFonts w:hint="default" w:eastAsia="楷体"/>
          <w:b/>
          <w:bCs/>
          <w:sz w:val="28"/>
          <w:szCs w:val="28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5-9-23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51396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73547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68670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sdt>
                  <w:sdtPr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  <w:id w:val="147457165"/>
                    <w15:color w:val="DBDBDB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sdtEndPr>
                  <w:sdtContent>
                    <w:sdt>
                      <w:sdtPr>
                        <w:rPr>
                          <w:rFonts w:hint="eastAsia" w:ascii="楷体" w:hAnsi="楷体" w:eastAsia="楷体" w:cs="楷体"/>
                          <w:kern w:val="2"/>
                          <w:sz w:val="52"/>
                          <w:szCs w:val="52"/>
                          <w:lang w:val="en-US" w:eastAsia="zh-CN" w:bidi="ar-SA"/>
                        </w:rPr>
                        <w:id w:val="147470660"/>
                        <w15:color w:val="DBDBDB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rFonts w:hint="eastAsia" w:ascii="楷体" w:hAnsi="楷体" w:eastAsia="楷体" w:cs="楷体"/>
                          <w:kern w:val="2"/>
                          <w:sz w:val="21"/>
                          <w:szCs w:val="28"/>
                          <w:lang w:val="en-US" w:eastAsia="zh-CN" w:bidi="ar-SA"/>
                        </w:rPr>
                      </w:sdtEndPr>
                      <w:sdtContent>
                        <w:sdt>
                          <w:sdtPr>
                            <w:rPr>
                              <w:rFonts w:hint="eastAsia" w:ascii="楷体" w:hAnsi="楷体" w:eastAsia="楷体" w:cs="楷体"/>
                              <w:kern w:val="2"/>
                              <w:sz w:val="52"/>
                              <w:szCs w:val="52"/>
                              <w:lang w:val="en-US" w:eastAsia="zh-CN" w:bidi="ar-SA"/>
                            </w:rPr>
                            <w:id w:val="147453092"/>
                            <w15:color w:val="DBDBDB"/>
                            <w:docPartObj>
                              <w:docPartGallery w:val="Table of Contents"/>
                              <w:docPartUnique/>
                            </w:docPartObj>
                          </w:sdtPr>
                          <w:sdtEndPr>
                            <w:rPr>
                              <w:rFonts w:hint="eastAsia" w:ascii="楷体" w:hAnsi="楷体" w:eastAsia="楷体" w:cs="楷体"/>
                              <w:kern w:val="2"/>
                              <w:sz w:val="21"/>
                              <w:szCs w:val="28"/>
                              <w:lang w:val="en-US" w:eastAsia="zh-CN" w:bidi="ar-SA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hint="eastAsia" w:ascii="楷体" w:hAnsi="楷体" w:eastAsia="楷体" w:cs="楷体"/>
                                  <w:kern w:val="2"/>
                                  <w:sz w:val="52"/>
                                  <w:szCs w:val="52"/>
                                  <w:lang w:val="en-US" w:eastAsia="zh-CN" w:bidi="ar-SA"/>
                                </w:rPr>
                                <w:id w:val="147475639"/>
                                <w15:color w:val="DBDBDB"/>
                                <w:docPartObj>
                                  <w:docPartGallery w:val="Table of Contents"/>
                                  <w:docPartUnique/>
                                </w:docPartObj>
                              </w:sdtPr>
                              <w:sdtEndPr>
                                <w:rPr>
                                  <w:rFonts w:hint="eastAsia" w:ascii="楷体" w:hAnsi="楷体" w:eastAsia="楷体" w:cs="楷体"/>
                                  <w:kern w:val="2"/>
                                  <w:sz w:val="21"/>
                                  <w:szCs w:val="28"/>
                                  <w:lang w:val="en-US" w:eastAsia="zh-CN" w:bidi="ar-SA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52"/>
                                      <w:szCs w:val="52"/>
                                      <w:lang w:val="en-US" w:eastAsia="zh-CN" w:bidi="ar-SA"/>
                                    </w:rPr>
                                    <w:id w:val="147475258"/>
                                    <w15:color w:val="DBDBDB"/>
                                    <w:docPartObj>
                                      <w:docPartGallery w:val="Table of Contents"/>
                                      <w:docPartUnique/>
                                    </w:docPartObj>
                                  </w:sdtPr>
                                  <w:sdtEnd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21"/>
                                      <w:szCs w:val="28"/>
                                      <w:lang w:val="en-US" w:eastAsia="zh-CN" w:bidi="ar-SA"/>
                                    </w:rPr>
                                  </w:sdtEndPr>
                                  <w:sdtContent>
                                    <w:sdt>
                                      <w:sdt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52"/>
                                          <w:szCs w:val="52"/>
                                          <w:lang w:val="en-US" w:eastAsia="zh-CN" w:bidi="ar-SA"/>
                                        </w:rPr>
                                        <w:id w:val="147456031"/>
                                        <w15:color w:val="DBDBDB"/>
                                        <w:docPartObj>
                                          <w:docPartGallery w:val="Table of Contents"/>
                                          <w:docPartUnique/>
                                        </w:docPartObj>
                                      </w:sdtPr>
                                      <w:sdtEnd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21"/>
                                          <w:szCs w:val="28"/>
                                          <w:lang w:val="en-US" w:eastAsia="zh-CN" w:bidi="ar-SA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52"/>
                                              <w:szCs w:val="52"/>
                                              <w:lang w:val="en-US" w:eastAsia="zh-CN" w:bidi="ar-SA"/>
                                            </w:rPr>
                                            <w:id w:val="147472730"/>
                                            <w15:color w:val="DBDBDB"/>
                                            <w:docPartObj>
                                              <w:docPartGallery w:val="Table of Contents"/>
                                              <w:docPartUnique/>
                                            </w:docPartObj>
                                          </w:sdtPr>
                                          <w:sdtEnd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21"/>
                                              <w:szCs w:val="28"/>
                                              <w:lang w:val="en-US" w:eastAsia="zh-CN" w:bidi="ar-SA"/>
                                            </w:rPr>
                                          </w:sdtEndPr>
                                          <w:sdtContent>
                                            <w:sdt>
                                              <w:sdt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52"/>
                                                  <w:szCs w:val="52"/>
                                                  <w:lang w:val="en-US" w:eastAsia="zh-CN" w:bidi="ar-SA"/>
                                                </w:rPr>
                                                <w:id w:val="147461847"/>
                                                <w15:color w:val="DBDBDB"/>
                                                <w:docPartObj>
                                                  <w:docPartGallery w:val="Table of Contents"/>
                                                  <w:docPartUnique/>
                                                </w:docPartObj>
                                              </w:sdtPr>
                                              <w:sdtEnd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21"/>
                                                  <w:szCs w:val="28"/>
                                                  <w:lang w:val="en-US" w:eastAsia="zh-CN" w:bidi="ar-SA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52"/>
                                                      <w:szCs w:val="52"/>
                                                      <w:lang w:val="en-US" w:eastAsia="zh-CN" w:bidi="ar-SA"/>
                                                    </w:rPr>
                                                    <w:id w:val="147453919"/>
                                                    <w15:color w:val="DBDBDB"/>
                                                    <w:docPartObj>
                                                      <w:docPartGallery w:val="Table of Contents"/>
                                                      <w:docPartUnique/>
                                                    </w:docPartObj>
                                                  </w:sdtPr>
                                                  <w:sdtEnd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21"/>
                                                      <w:szCs w:val="28"/>
                                                      <w:lang w:val="en-US" w:eastAsia="zh-CN" w:bidi="ar-SA"/>
                                                    </w:rPr>
                                                  </w:sdtEndPr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52"/>
                                                          <w:szCs w:val="52"/>
                                                          <w:lang w:val="en-US" w:eastAsia="zh-CN" w:bidi="ar-SA"/>
                                                        </w:rPr>
                                                        <w:id w:val="147477599"/>
                                                        <w15:color w:val="DBDBDB"/>
                                                        <w:docPartObj>
                                                          <w:docPartGallery w:val="Table of Contents"/>
                                                          <w:docPartUnique/>
                                                        </w:docPartObj>
                                                      </w:sdtPr>
                                                      <w:sdtEnd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21"/>
                                                          <w:szCs w:val="28"/>
                                                          <w:lang w:val="en-US" w:eastAsia="zh-CN" w:bidi="ar-SA"/>
                                                        </w:rPr>
                                                      </w:sdtEndPr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rFonts w:hint="eastAsia" w:ascii="楷体" w:hAnsi="楷体" w:eastAsia="楷体" w:cs="楷体"/>
                                                              <w:kern w:val="2"/>
                                                              <w:sz w:val="52"/>
                                                              <w:szCs w:val="52"/>
                                                              <w:lang w:val="en-US" w:eastAsia="zh-CN" w:bidi="ar-SA"/>
                                                            </w:rPr>
                                                            <w:id w:val="147471744"/>
                                                            <w15:color w:val="DBDBDB"/>
                                                            <w:docPartObj>
                                                              <w:docPartGallery w:val="Table of Contents"/>
                                                              <w:docPartUnique/>
                                                            </w:docPartObj>
                                                          </w:sdtPr>
                                                          <w:sdtEndPr>
                                                            <w:rPr>
                                                              <w:rFonts w:hint="eastAsia" w:ascii="Times New Roman" w:hAnsi="Times New Roman" w:eastAsia="宋体" w:cs="Times New Roman"/>
                                                              <w:kern w:val="2"/>
                                                              <w:sz w:val="21"/>
                                                              <w:szCs w:val="24"/>
                                                              <w:lang w:val="en-US" w:eastAsia="zh-CN" w:bidi="ar-SA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52"/>
                                                                  <w:szCs w:val="52"/>
                                                                  <w:lang w:val="en-US" w:eastAsia="zh-CN" w:bidi="ar-SA"/>
                                                                </w:rPr>
                                                                <w:id w:val="147458501"/>
                                                                <w15:color w:val="DBDBDB"/>
                                                                <w:docPartObj>
                                                                  <w:docPartGallery w:val="Table of Contents"/>
                                                                  <w:docPartUnique/>
                                                                </w:docPartObj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21"/>
                                                                  <w:szCs w:val="28"/>
                                                                  <w:lang w:val="en-US" w:eastAsia="zh-CN" w:bidi="ar-SA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kern w:val="2"/>
                                                                      <w:sz w:val="52"/>
                                                                      <w:szCs w:val="52"/>
                                                                      <w:lang w:val="en-US" w:eastAsia="zh-CN" w:bidi="ar-SA"/>
                                                                    </w:rPr>
                                                                    <w:id w:val="147475776"/>
                                                                    <w15:color w:val="DBDBDB"/>
                                                                    <w:docPartObj>
                                                                      <w:docPartGallery w:val="Table of Contents"/>
                                                                      <w:docPartUnique/>
                                                                    </w:docPartObj>
                                                                  </w:sdtPr>
                                                                  <w:sdtEndPr>
                                                                    <w:rPr>
                                                                      <w:rFonts w:hint="eastAsia" w:ascii="Times New Roman" w:hAnsi="Times New Roman" w:eastAsia="宋体" w:cs="Times New Roman"/>
                                                                      <w:kern w:val="2"/>
                                                                      <w:sz w:val="21"/>
                                                                      <w:szCs w:val="24"/>
                                                                      <w:lang w:val="en-US" w:eastAsia="zh-CN" w:bidi="ar-SA"/>
                                                                    </w:rPr>
                                                                  </w:sdtEndPr>
                                                                  <w:sdtContent>
                                                                    <w:sdt>
                                                                      <w:sdtP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kern w:val="2"/>
                                                                          <w:sz w:val="52"/>
                                                                          <w:szCs w:val="52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  <w:id w:val="147478905"/>
                                                                        <w15:color w:val="DBDBDB"/>
                                                                        <w:docPartObj>
                                                                          <w:docPartGallery w:val="Table of Contents"/>
                                                                          <w:docPartUnique/>
                                                                        </w:docPartObj>
                                                                      </w:sdtPr>
                                                                      <w:sdtEndPr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sdtEndPr>
                                                                      <w:sdtContent>
                                                                        <w:p w14:paraId="224EB5B8">
                                                                          <w:pPr>
                                                                            <w:spacing w:before="0" w:beforeLines="0" w:after="0" w:afterLines="0" w:line="240" w:lineRule="auto"/>
                                                                            <w:ind w:left="0" w:leftChars="0" w:right="0" w:rightChars="0" w:firstLine="0" w:firstLineChars="0"/>
                                                                            <w:jc w:val="center"/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52"/>
                                                                              <w:szCs w:val="52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52"/>
                                                                              <w:szCs w:val="52"/>
                                                                            </w:rPr>
                                                                            <w:t>目录</w:t>
                                                                          </w:r>
                                                                        </w:p>
                                                                        <w:p w14:paraId="0CF83279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TOC \o "1-1" \h \u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_Toc21102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一、实验步骤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instrText xml:space="preserve"> PAGEREF _Toc21102 \h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2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007190BB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_Toc18683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二、实验主要试剂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2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440417E3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_Toc29019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t>三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、实验器材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3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00464E2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_Toc17669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t>四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、结果判读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3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4C40763D">
                                                                          <w:pPr>
                                                                            <w:bidi w:val="0"/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</w:sdtContent>
                                                                    </w:sdt>
                                                                    <w:p w14:paraId="02961C22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0E967C4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A4DB8D9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3B1E2D0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449D68F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30BA313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7731CA2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4D1AAA0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630F7F3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28CE007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2032FB9">
                                                                      <w:pPr>
                                                                        <w:tabs>
                                                                          <w:tab w:val="left" w:pos="5031"/>
                                                                        </w:tabs>
                                                                        <w:bidi w:val="0"/>
                                                                        <w:jc w:val="left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  <w:sectPr>
                                                                          <w:pgSz w:w="11906" w:h="16838"/>
                                                                          <w:pgMar w:top="1440" w:right="1800" w:bottom="1440" w:left="1800" w:header="851" w:footer="992" w:gutter="0"/>
                                                                          <w:cols w:space="425" w:num="1"/>
                                                                          <w:docGrid w:type="lines" w:linePitch="312" w:charSpace="0"/>
                                                                        </w:sect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  <w:tab/>
                                                                      </w:r>
                                                                    </w:p>
                                                                    <w:p w14:paraId="4CDD2364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1"/>
                                                                        </w:numPr>
                                                                        <w:jc w:val="left"/>
                                                                        <w:outlineLvl w:val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bookmarkStart w:id="0" w:name="_Toc21102"/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实验步骤</w:t>
                                                                      </w:r>
                                                                      <w:bookmarkEnd w:id="0"/>
                                                                    </w:p>
                                                                    <w:p w14:paraId="5B78D4DB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2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切片放入干燥箱65℃烤片30min。</w:t>
                                                                      </w:r>
                                                                    </w:p>
                                                                    <w:p w14:paraId="5484AB97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2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依次过3道二甲苯，每道5min。</w:t>
                                                                      </w:r>
                                                                    </w:p>
                                                                    <w:p w14:paraId="124ED2D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2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依次过3道(100%-95%-80%)乙醇，每道3min。</w:t>
                                                                      </w:r>
                                                                    </w:p>
                                                                    <w:p w14:paraId="6B1CB66A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2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将切片放入烧杯中，流水缓慢冲洗，洗去乙醇，直到切片干净透明。</w:t>
                                                                      </w:r>
                                                                    </w:p>
                                                                    <w:p w14:paraId="33FF8EC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2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抗原高压修复：在高压锅内配制2000ml PH为6.0的柠檬酸盐修复液，电磁炉加热至沸腾，放入切片盖上锅盖，喷气后计时2min，然后停止加热，流水缓慢冲洗高压锅盖直至冷却。</w:t>
                                                                      </w:r>
                                                                    </w:p>
                                                                    <w:p w14:paraId="00F1C75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2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蒸馏水洗3次，画疏水圈，PBS-T冲洗3次。</w:t>
                                                                      </w:r>
                                                                    </w:p>
                                                                    <w:p w14:paraId="2637181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2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滴加稀释好的WGA染色液（1:200），37℃培养箱孵育1h。</w:t>
                                                                      </w:r>
                                                                    </w:p>
                                                                    <w:p w14:paraId="695362A4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2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甩去切片上多余的液体，PBS-T冲洗干净。</w:t>
                                                                      </w:r>
                                                                    </w:p>
                                                                    <w:p w14:paraId="311E25A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ind w:leftChars="0"/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9.用抗荧光淬灭封片剂（含DAPI）封片。</w:t>
                                                                      </w:r>
                                                                    </w:p>
                                                                    <w:p w14:paraId="2C9B9D4A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ind w:leftChars="0"/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10.数字切片扫描仪（Pannoramic MIDI）扫描荧光切片。</w:t>
                                                                      </w:r>
                                                                    </w:p>
                                                                    <w:p w14:paraId="6B3E70F8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二、实验主要试剂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W w:w="8538" w:type="dxa"/>
                                                                        <w:tblInd w:w="-336" w:type="dxa"/>
                                                                        <w:tblBorders>
                                                                          <w:top w:val="single" w:color="auto" w:sz="12" w:space="0"/>
                                                                          <w:left w:val="none" w:color="auto" w:sz="0" w:space="0"/>
                                                                          <w:bottom w:val="single" w:color="auto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3750"/>
                                                                        <w:gridCol w:w="2348"/>
                                                                        <w:gridCol w:w="2440"/>
                                                                      </w:tblGrid>
                                                                      <w:tr w14:paraId="687BBCD4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0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75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9B05CF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试剂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48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D50A6D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44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EDFB03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货号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F7103B8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75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F9B350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二甲苯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48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AFCBA1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天津市凯通化学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44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8EA65F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1A1DF0B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75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C66DDB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无水乙醇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48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19AAAD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上海广诺化学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44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794D9F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852A12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75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ABAB64E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WGA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48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5AE81C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Sigma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44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8C11C2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L4895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6039B6F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75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FEC5B7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柠檬酸盐修复液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48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C2E2CD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中杉金桥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4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AF9652E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ZLI-9065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1AAF8EC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75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3FF79A8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PBS缓冲液粉末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48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E5C874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中杉金桥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4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CBF65A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ZLI-9062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D4BC622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75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C49BCB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抗荧光淬灭封片剂（含DAPI）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48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D4B777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碧云天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440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AC6A53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P0131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47077BCB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7A40F87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spacing w:after="156" w:afterLines="50" w:line="380" w:lineRule="exact"/>
                                                                        <w:ind w:leftChars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0E2D6D6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spacing w:after="156" w:afterLines="50" w:line="380" w:lineRule="exact"/>
                                                                        <w:ind w:leftChars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  <w:bookmarkStart w:id="1" w:name="_GoBack"/>
                                                                      <w:bookmarkEnd w:id="1"/>
                                                                    </w:p>
                                                                    <w:p w14:paraId="77092C85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三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、实验器材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pPr w:leftFromText="180" w:rightFromText="180" w:vertAnchor="text" w:horzAnchor="page" w:tblpX="1960" w:tblpY="205"/>
                                                                        <w:tblOverlap w:val="never"/>
                                                                        <w:tblW w:w="8610" w:type="dxa"/>
                                                                        <w:tblInd w:w="0" w:type="dxa"/>
                                                                        <w:tblBorders>
                                                                          <w:top w:val="single" w:color="000000" w:sz="12" w:space="0"/>
                                                                          <w:left w:val="none" w:color="auto" w:sz="0" w:space="0"/>
                                                                          <w:bottom w:val="single" w:color="000000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2940"/>
                                                                        <w:gridCol w:w="3150"/>
                                                                        <w:gridCol w:w="2520"/>
                                                                      </w:tblGrid>
                                                                      <w:tr w14:paraId="5BF4A478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68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7294D9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名称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089830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0C4538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型号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748ED22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3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5067F2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生物组织自动脱水机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030C89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99B661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ZT-12M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540FB8F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7FF6BA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生物组织包埋机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2EE69CE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864860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YB-7LF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91FBCED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B1E31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生物组织摊烤片机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8A11D6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832381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YT-7FB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EDD8BB7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2B917E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徕卡切片机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781214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Leica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A2F381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RM2016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357DF40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55B7EF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切片刀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7D7E91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Leica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84E492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Leica 819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1DCBF4DB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08F22C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电热恒温鼓风干燥箱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0DF8FA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上海三发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C4929B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DHG-9070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3B0F8C3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8AF1CD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隔水式恒温培养箱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8BB22B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上海三发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9F5B61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GNP-9080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9387AA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C125F1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电磁炉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7F3EF4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Midea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038857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C21-Simple 10</w:t>
                                                                            </w: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1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E48857B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C9BAD4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高压锅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BA5B0C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SUPOR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9ED052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YS22E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FE2426C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3FF6EF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PAP Pen 免疫组化笔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1B025A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11B062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B007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70A6217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7A6E5F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粘附载玻片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187E69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ED3D51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B004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2B7F7DE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815A4E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数字切片扫描仪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FDDA1D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匈牙利</w:t>
                                                                            </w: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3DHISTECH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57618A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Pannoramic MIDI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6719CFF7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B3C681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四、结果判读</w:t>
                                                                      </w:r>
                                                                    </w:p>
                                                                    <w:p w14:paraId="5D9C4087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细胞核呈蓝色，阳性表达位置为绿色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。</w:t>
                                                                      </w:r>
                                                                    </w:p>
                                                                    <w:p w14:paraId="7987C7BF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  <w:drawing>
                                                                          <wp:inline distT="0" distB="0" distL="114300" distR="114300">
                                                                            <wp:extent cx="5266690" cy="2789555"/>
                                                                            <wp:effectExtent l="0" t="0" r="10160" b="10795"/>
                                                                            <wp:docPr id="2" name="图片 2" descr="A513_40.0x"/>
                                                                            <wp:cNvGraphicFramePr>
                                                                              <a:graphicFrameLocks xmlns:a="http://schemas.openxmlformats.org/drawingml/2006/main" noChangeAspect="1"/>
                                                                            </wp:cNvGraphicFramePr>
                                                                            <a:graphic xmlns:a="http://schemas.openxmlformats.org/drawingml/2006/main">
                                                                              <a:graphicData uri="http://schemas.openxmlformats.org/drawingml/2006/picture">
                                                                                <pic:pic xmlns:pic="http://schemas.openxmlformats.org/drawingml/2006/picture">
                                                                                  <pic:nvPicPr>
                                                                                    <pic:cNvPr id="2" name="图片 2" descr="A513_40.0x"/>
                                                                                    <pic:cNvPicPr>
                                                                                      <a:picLocks noChangeAspect="1"/>
                                                                                    </pic:cNvPicPr>
                                                                                  </pic:nvPicPr>
                                                                                  <pic:blipFill>
                                                                                    <a:blip r:embed="rId10"/>
                                                                                    <a:stretch>
                                                                                      <a:fillRect/>
                                                                                    </a:stretch>
                                                                                  </pic:blipFill>
                                                                                  <pic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5266690" cy="2789555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</pic:spPr>
                                                                                </pic:pic>
                                                                              </a:graphicData>
                                                                            </a:graphic>
                                                                          </wp:inline>
                                                                        </w:drawing>
                                                                      </w:r>
                                                                    </w:p>
                                                                    <w:p w14:paraId="649906C8">
                                                                      <w:pPr>
                                                                        <w:bidi w:val="0"/>
                                                                        <w:jc w:val="center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8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645DAE56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09FD9F48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C3493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16510</wp:posOffset>
              </wp:positionH>
              <wp:positionV relativeFrom="paragraph">
                <wp:posOffset>635</wp:posOffset>
              </wp:positionV>
              <wp:extent cx="5715000" cy="0"/>
              <wp:effectExtent l="0" t="0" r="0" b="0"/>
              <wp:wrapSquare wrapText="bothSides"/>
              <wp:docPr id="3" name="直线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1587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26" o:spid="_x0000_s1026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BQhknRAAAA&#10;AwEAAA8AAAAAAAAAAQAgAAAAIgAAAGRycy9kb3ducmV2LnhtbFBLAQIUABQAAAAIAIdO4kCaE0X3&#10;6wEAAN8DAAAOAAAAAAAAAAEAIAAAACABAABkcnMvZTJvRG9jLnhtbFBLBQYAAAAABgAGAFkBAAB9&#10;BQAAAAA=&#10;">
              <v:fill on="f" focussize="0,0"/>
              <v:stroke weight="1.25pt"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7257BA43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68151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A157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A7F40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8D5D4D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6F39D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BDA9D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1NTk4OTI0Njk4ZDg4NmZlYWY2OWM1NmIyNGU4ZGM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4A2DCC"/>
    <w:rsid w:val="024C492F"/>
    <w:rsid w:val="029702A0"/>
    <w:rsid w:val="029B3464"/>
    <w:rsid w:val="030F29AD"/>
    <w:rsid w:val="032338E1"/>
    <w:rsid w:val="034F0512"/>
    <w:rsid w:val="03802AE2"/>
    <w:rsid w:val="047343F5"/>
    <w:rsid w:val="06EE220A"/>
    <w:rsid w:val="06F061D0"/>
    <w:rsid w:val="077E1A2E"/>
    <w:rsid w:val="08E9737B"/>
    <w:rsid w:val="08EB6C4F"/>
    <w:rsid w:val="08FC70AE"/>
    <w:rsid w:val="09045F63"/>
    <w:rsid w:val="09F2225F"/>
    <w:rsid w:val="0A5B7E05"/>
    <w:rsid w:val="0A9F669C"/>
    <w:rsid w:val="0ADE1809"/>
    <w:rsid w:val="0BFC73C5"/>
    <w:rsid w:val="0C1C35C4"/>
    <w:rsid w:val="11C961EA"/>
    <w:rsid w:val="11F26CA6"/>
    <w:rsid w:val="13182D37"/>
    <w:rsid w:val="140A79D6"/>
    <w:rsid w:val="1611159F"/>
    <w:rsid w:val="16223ECC"/>
    <w:rsid w:val="164A3F23"/>
    <w:rsid w:val="16522FD9"/>
    <w:rsid w:val="170A0BE8"/>
    <w:rsid w:val="179B7A92"/>
    <w:rsid w:val="17F21B80"/>
    <w:rsid w:val="1853036D"/>
    <w:rsid w:val="18647EC3"/>
    <w:rsid w:val="193930ED"/>
    <w:rsid w:val="19D153D0"/>
    <w:rsid w:val="1A420699"/>
    <w:rsid w:val="1A8567D8"/>
    <w:rsid w:val="1AD05CA5"/>
    <w:rsid w:val="1CD9229E"/>
    <w:rsid w:val="1CE1063D"/>
    <w:rsid w:val="1DB7314C"/>
    <w:rsid w:val="1DDC2BB3"/>
    <w:rsid w:val="1F264A2D"/>
    <w:rsid w:val="1F933745"/>
    <w:rsid w:val="20C52024"/>
    <w:rsid w:val="214014EE"/>
    <w:rsid w:val="21A25DD1"/>
    <w:rsid w:val="224529A5"/>
    <w:rsid w:val="242B4894"/>
    <w:rsid w:val="2503311B"/>
    <w:rsid w:val="2668592C"/>
    <w:rsid w:val="26B20955"/>
    <w:rsid w:val="26B446CD"/>
    <w:rsid w:val="26EF3957"/>
    <w:rsid w:val="2802590C"/>
    <w:rsid w:val="29FA689B"/>
    <w:rsid w:val="2A6D1762"/>
    <w:rsid w:val="2A7228D5"/>
    <w:rsid w:val="2ABA44F0"/>
    <w:rsid w:val="2AD25A69"/>
    <w:rsid w:val="2BC712A4"/>
    <w:rsid w:val="2BF8505C"/>
    <w:rsid w:val="2C4C53A8"/>
    <w:rsid w:val="2C92725E"/>
    <w:rsid w:val="2D151C3D"/>
    <w:rsid w:val="2DAA05D8"/>
    <w:rsid w:val="2E045F3A"/>
    <w:rsid w:val="2EC76F67"/>
    <w:rsid w:val="2F01212D"/>
    <w:rsid w:val="305B02AF"/>
    <w:rsid w:val="30760C45"/>
    <w:rsid w:val="30963095"/>
    <w:rsid w:val="30BC3E94"/>
    <w:rsid w:val="31307046"/>
    <w:rsid w:val="32904240"/>
    <w:rsid w:val="3310712F"/>
    <w:rsid w:val="33863BFB"/>
    <w:rsid w:val="33941B0E"/>
    <w:rsid w:val="33D75E9F"/>
    <w:rsid w:val="35F35F9A"/>
    <w:rsid w:val="36AA5AEC"/>
    <w:rsid w:val="374675C3"/>
    <w:rsid w:val="37B243B0"/>
    <w:rsid w:val="37F857E9"/>
    <w:rsid w:val="38613F89"/>
    <w:rsid w:val="3A033549"/>
    <w:rsid w:val="3A6C5593"/>
    <w:rsid w:val="3ADE5D64"/>
    <w:rsid w:val="3BF515B8"/>
    <w:rsid w:val="3C522566"/>
    <w:rsid w:val="3CE358B4"/>
    <w:rsid w:val="3E491747"/>
    <w:rsid w:val="3ECF4342"/>
    <w:rsid w:val="40730CFD"/>
    <w:rsid w:val="407D392A"/>
    <w:rsid w:val="41597EF3"/>
    <w:rsid w:val="41B415CD"/>
    <w:rsid w:val="426D00FA"/>
    <w:rsid w:val="42822229"/>
    <w:rsid w:val="435E3EE6"/>
    <w:rsid w:val="440700DA"/>
    <w:rsid w:val="44114AB5"/>
    <w:rsid w:val="46040D75"/>
    <w:rsid w:val="48AC33AA"/>
    <w:rsid w:val="48EC3D42"/>
    <w:rsid w:val="48F86243"/>
    <w:rsid w:val="4B693428"/>
    <w:rsid w:val="4B81569D"/>
    <w:rsid w:val="4C101AF6"/>
    <w:rsid w:val="4CB31A29"/>
    <w:rsid w:val="4D2A6BE7"/>
    <w:rsid w:val="4DA4699A"/>
    <w:rsid w:val="4FA709C3"/>
    <w:rsid w:val="507F724A"/>
    <w:rsid w:val="50D94BAC"/>
    <w:rsid w:val="51453FF0"/>
    <w:rsid w:val="517448D5"/>
    <w:rsid w:val="51CC64BF"/>
    <w:rsid w:val="521C06CB"/>
    <w:rsid w:val="52377DDC"/>
    <w:rsid w:val="528838E5"/>
    <w:rsid w:val="52976ACD"/>
    <w:rsid w:val="54CB6F02"/>
    <w:rsid w:val="556C5FEF"/>
    <w:rsid w:val="57EA3B43"/>
    <w:rsid w:val="57F6257F"/>
    <w:rsid w:val="58C16652"/>
    <w:rsid w:val="58C93758"/>
    <w:rsid w:val="5A5B561B"/>
    <w:rsid w:val="5A6A2FC4"/>
    <w:rsid w:val="5B273B09"/>
    <w:rsid w:val="5B595267"/>
    <w:rsid w:val="5BDB7A2A"/>
    <w:rsid w:val="5C4750C0"/>
    <w:rsid w:val="5CB32755"/>
    <w:rsid w:val="5DB1138B"/>
    <w:rsid w:val="5FC44C79"/>
    <w:rsid w:val="609C121C"/>
    <w:rsid w:val="60E07891"/>
    <w:rsid w:val="620C1765"/>
    <w:rsid w:val="627E6257"/>
    <w:rsid w:val="63604CB9"/>
    <w:rsid w:val="65E87914"/>
    <w:rsid w:val="66E93A19"/>
    <w:rsid w:val="67696832"/>
    <w:rsid w:val="676C6322"/>
    <w:rsid w:val="67FD6F7B"/>
    <w:rsid w:val="697B0A9F"/>
    <w:rsid w:val="69DA7573"/>
    <w:rsid w:val="6AD40467"/>
    <w:rsid w:val="6B20545A"/>
    <w:rsid w:val="6BEE37AA"/>
    <w:rsid w:val="6CBD4F2A"/>
    <w:rsid w:val="6E7A0447"/>
    <w:rsid w:val="6E7F4B8D"/>
    <w:rsid w:val="6EA463A2"/>
    <w:rsid w:val="702A28D7"/>
    <w:rsid w:val="71407606"/>
    <w:rsid w:val="71FE401B"/>
    <w:rsid w:val="731E3A64"/>
    <w:rsid w:val="746960C4"/>
    <w:rsid w:val="75510906"/>
    <w:rsid w:val="75581413"/>
    <w:rsid w:val="75A153E9"/>
    <w:rsid w:val="75D0200F"/>
    <w:rsid w:val="76AA50D9"/>
    <w:rsid w:val="77843214"/>
    <w:rsid w:val="793B5B55"/>
    <w:rsid w:val="794B3FEA"/>
    <w:rsid w:val="799F7E92"/>
    <w:rsid w:val="79AB6836"/>
    <w:rsid w:val="7C66113B"/>
    <w:rsid w:val="7F4C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574</Words>
  <Characters>848</Characters>
  <Lines>27</Lines>
  <Paragraphs>7</Paragraphs>
  <TotalTime>0</TotalTime>
  <ScaleCrop>false</ScaleCrop>
  <LinksUpToDate>false</LinksUpToDate>
  <CharactersWithSpaces>870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2025-09-23T00:48:34Z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A073336F28274A7888BBF829335164B3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