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E7CAFB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5992E39A">
      <w:pPr>
        <w:jc w:val="center"/>
        <w:rPr>
          <w:rFonts w:eastAsia="楷体"/>
          <w:b/>
          <w:sz w:val="52"/>
          <w:szCs w:val="52"/>
        </w:rPr>
      </w:pPr>
    </w:p>
    <w:p w14:paraId="53629446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19E361E0">
      <w:pPr>
        <w:jc w:val="center"/>
        <w:rPr>
          <w:rFonts w:eastAsia="楷体"/>
          <w:sz w:val="52"/>
          <w:szCs w:val="52"/>
        </w:rPr>
      </w:pPr>
    </w:p>
    <w:p w14:paraId="66F4EED2">
      <w:pPr>
        <w:jc w:val="center"/>
        <w:rPr>
          <w:rFonts w:eastAsia="楷体"/>
          <w:sz w:val="28"/>
          <w:szCs w:val="28"/>
        </w:rPr>
      </w:pPr>
    </w:p>
    <w:p w14:paraId="46250946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尼氏染色（焦油紫法）</w:t>
      </w:r>
    </w:p>
    <w:p w14:paraId="1D9ADE82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委托方（甲方）：</w:t>
      </w:r>
      <w:r>
        <w:rPr>
          <w:rFonts w:hint="eastAsia" w:eastAsia="楷体"/>
          <w:sz w:val="28"/>
          <w:szCs w:val="28"/>
          <w:lang w:val="en-US" w:eastAsia="zh-CN"/>
        </w:rPr>
        <w:t>李梦圆</w:t>
      </w:r>
    </w:p>
    <w:p w14:paraId="1B8ACF97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7F5DC2E2">
      <w:pPr>
        <w:rPr>
          <w:rFonts w:eastAsia="楷体"/>
          <w:sz w:val="28"/>
          <w:szCs w:val="28"/>
        </w:rPr>
      </w:pPr>
    </w:p>
    <w:p w14:paraId="0A295FEC">
      <w:pPr>
        <w:rPr>
          <w:rFonts w:eastAsia="楷体"/>
          <w:sz w:val="28"/>
          <w:szCs w:val="28"/>
        </w:rPr>
      </w:pPr>
    </w:p>
    <w:p w14:paraId="7B86F77F">
      <w:pPr>
        <w:rPr>
          <w:rFonts w:eastAsia="楷体"/>
          <w:sz w:val="28"/>
          <w:szCs w:val="28"/>
        </w:rPr>
      </w:pPr>
    </w:p>
    <w:p w14:paraId="6409660D">
      <w:pPr>
        <w:rPr>
          <w:rFonts w:eastAsia="楷体"/>
          <w:sz w:val="28"/>
          <w:szCs w:val="28"/>
        </w:rPr>
      </w:pPr>
    </w:p>
    <w:p w14:paraId="60A4DD41">
      <w:pPr>
        <w:rPr>
          <w:rFonts w:eastAsia="楷体"/>
          <w:sz w:val="28"/>
          <w:szCs w:val="28"/>
        </w:rPr>
      </w:pPr>
    </w:p>
    <w:p w14:paraId="27D282BA">
      <w:pPr>
        <w:spacing w:line="360" w:lineRule="auto"/>
        <w:rPr>
          <w:rFonts w:eastAsia="楷体"/>
          <w:sz w:val="28"/>
          <w:szCs w:val="28"/>
        </w:rPr>
      </w:pPr>
    </w:p>
    <w:p w14:paraId="79D5D7E4">
      <w:pPr>
        <w:spacing w:line="360" w:lineRule="auto"/>
        <w:rPr>
          <w:rFonts w:eastAsia="楷体"/>
          <w:sz w:val="28"/>
          <w:szCs w:val="28"/>
        </w:rPr>
      </w:pPr>
    </w:p>
    <w:p w14:paraId="03B59DE5">
      <w:pPr>
        <w:spacing w:line="360" w:lineRule="auto"/>
        <w:rPr>
          <w:rFonts w:eastAsia="楷体"/>
          <w:sz w:val="28"/>
          <w:szCs w:val="28"/>
        </w:rPr>
      </w:pPr>
    </w:p>
    <w:p w14:paraId="3B4798DB">
      <w:pPr>
        <w:spacing w:line="360" w:lineRule="auto"/>
        <w:rPr>
          <w:rFonts w:eastAsia="楷体"/>
          <w:sz w:val="28"/>
          <w:szCs w:val="28"/>
        </w:rPr>
      </w:pPr>
    </w:p>
    <w:p w14:paraId="0D02A8C4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4B3F8C32">
      <w:pPr>
        <w:spacing w:line="360" w:lineRule="auto"/>
        <w:ind w:firstLine="5040" w:firstLineChars="1800"/>
        <w:jc w:val="center"/>
        <w:rPr>
          <w:rFonts w:hint="default"/>
          <w:lang w:val="en-US"/>
        </w:r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6-1-8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72653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59598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74431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sdt>
                  <w:sdtPr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  <w:id w:val="147457165"/>
                    <w15:color w:val="DBDBDB"/>
                    <w:docPartObj>
                      <w:docPartGallery w:val="Table of Contents"/>
                      <w:docPartUnique/>
                    </w:docPartObj>
                  </w:sdtPr>
                  <w:sdtEndPr>
                    <w:rPr>
                      <w:rFonts w:hint="eastAsia" w:ascii="Times New Roman" w:hAnsi="Times New Roman" w:eastAsia="宋体" w:cs="Times New Roman"/>
                      <w:kern w:val="2"/>
                      <w:sz w:val="21"/>
                      <w:szCs w:val="24"/>
                      <w:lang w:val="en-US" w:eastAsia="zh-CN" w:bidi="ar-SA"/>
                    </w:rPr>
                  </w:sdtEndPr>
                  <w:sdtContent>
                    <w:sdt>
                      <w:sdtPr>
                        <w:rPr>
                          <w:rFonts w:hint="eastAsia" w:ascii="楷体" w:hAnsi="楷体" w:eastAsia="楷体" w:cs="楷体"/>
                          <w:kern w:val="2"/>
                          <w:sz w:val="52"/>
                          <w:szCs w:val="52"/>
                          <w:lang w:val="en-US" w:eastAsia="zh-CN" w:bidi="ar-SA"/>
                        </w:rPr>
                        <w:id w:val="147452985"/>
                        <w15:color w:val="DBDBDB"/>
                        <w:docPartObj>
                          <w:docPartGallery w:val="Table of Contents"/>
                          <w:docPartUnique/>
                        </w:docPartObj>
                      </w:sdtPr>
                      <w:sdtEndPr>
                        <w:rPr>
                          <w:rFonts w:hint="eastAsia" w:ascii="楷体" w:hAnsi="楷体" w:eastAsia="楷体" w:cs="楷体"/>
                          <w:kern w:val="2"/>
                          <w:sz w:val="21"/>
                          <w:szCs w:val="28"/>
                          <w:lang w:val="en-US" w:eastAsia="zh-CN" w:bidi="ar-SA"/>
                        </w:rPr>
                      </w:sdtEndPr>
                      <w:sdtContent>
                        <w:sdt>
                          <w:sdtPr>
                            <w:rPr>
                              <w:rFonts w:hint="eastAsia" w:ascii="楷体" w:hAnsi="楷体" w:eastAsia="楷体" w:cs="楷体"/>
                              <w:kern w:val="2"/>
                              <w:sz w:val="52"/>
                              <w:szCs w:val="52"/>
                              <w:lang w:val="en-US" w:eastAsia="zh-CN" w:bidi="ar-SA"/>
                            </w:rPr>
                            <w:id w:val="147460868"/>
                            <w15:color w:val="DBDBDB"/>
                            <w:docPartObj>
                              <w:docPartGallery w:val="Table of Contents"/>
                              <w:docPartUnique/>
                            </w:docPartObj>
                          </w:sdtPr>
                          <w:sdtEndPr>
                            <w:rPr>
                              <w:rFonts w:hint="eastAsia" w:ascii="楷体" w:hAnsi="楷体" w:eastAsia="楷体" w:cs="楷体"/>
                              <w:kern w:val="2"/>
                              <w:sz w:val="21"/>
                              <w:szCs w:val="28"/>
                              <w:lang w:val="en-US" w:eastAsia="zh-CN" w:bidi="ar-SA"/>
                            </w:rPr>
                          </w:sdtEndPr>
                          <w:sdtContent>
                            <w:sdt>
                              <w:sdtPr>
                                <w:rPr>
                                  <w:rFonts w:hint="eastAsia" w:ascii="楷体" w:hAnsi="楷体" w:eastAsia="楷体" w:cs="楷体"/>
                                  <w:kern w:val="2"/>
                                  <w:sz w:val="52"/>
                                  <w:szCs w:val="52"/>
                                  <w:lang w:val="en-US" w:eastAsia="zh-CN" w:bidi="ar-SA"/>
                                </w:rPr>
                                <w:id w:val="147478395"/>
                                <w15:color w:val="DBDBDB"/>
                                <w:docPartObj>
                                  <w:docPartGallery w:val="Table of Contents"/>
                                  <w:docPartUnique/>
                                </w:docPartObj>
                              </w:sdtPr>
                              <w:sdtEndPr>
                                <w:rPr>
                                  <w:rFonts w:hint="eastAsia" w:ascii="楷体" w:hAnsi="楷体" w:eastAsia="楷体" w:cs="楷体"/>
                                  <w:kern w:val="2"/>
                                  <w:sz w:val="21"/>
                                  <w:szCs w:val="28"/>
                                  <w:lang w:val="en-US" w:eastAsia="zh-CN" w:bidi="ar-SA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52"/>
                                      <w:szCs w:val="52"/>
                                      <w:lang w:val="en-US" w:eastAsia="zh-CN" w:bidi="ar-SA"/>
                                    </w:rPr>
                                    <w:id w:val="147458501"/>
                                    <w15:color w:val="DBDBDB"/>
                                    <w:docPartObj>
                                      <w:docPartGallery w:val="Table of Contents"/>
                                      <w:docPartUnique/>
                                    </w:docPartObj>
                                  </w:sdtPr>
                                  <w:sdtEndPr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21"/>
                                      <w:szCs w:val="28"/>
                                      <w:lang w:val="en-US" w:eastAsia="zh-CN" w:bidi="ar-SA"/>
                                    </w:rPr>
                                  </w:sdtEndPr>
                                  <w:sdtContent>
                                    <w:p w14:paraId="40C00349">
                                      <w:pPr>
                                        <w:spacing w:before="0" w:beforeLines="0" w:after="0" w:afterLines="0" w:line="240" w:lineRule="auto"/>
                                        <w:ind w:left="0" w:leftChars="0" w:right="0" w:rightChars="0" w:firstLine="0" w:firstLineChars="0"/>
                                        <w:jc w:val="center"/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52"/>
                                          <w:szCs w:val="52"/>
                                          <w:lang w:val="en-US" w:eastAsia="zh-CN" w:bidi="ar-SA"/>
                                        </w:rPr>
                                      </w:pPr>
                                    </w:p>
                                    <w:p w14:paraId="3E0D168C">
                                      <w:pPr>
                                        <w:spacing w:before="0" w:beforeLines="0" w:after="0" w:afterLines="0" w:line="240" w:lineRule="auto"/>
                                        <w:ind w:left="0" w:leftChars="0" w:right="0" w:rightChars="0" w:firstLine="0" w:firstLineChars="0"/>
                                        <w:jc w:val="center"/>
                                        <w:rPr>
                                          <w:rFonts w:hint="eastAsia" w:ascii="楷体" w:hAnsi="楷体" w:eastAsia="楷体" w:cs="楷体"/>
                                          <w:sz w:val="52"/>
                                          <w:szCs w:val="52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52"/>
                                          <w:szCs w:val="52"/>
                                        </w:rPr>
                                        <w:t>目录</w:t>
                                      </w:r>
                                    </w:p>
                                    <w:p w14:paraId="1F7AEA37">
                                      <w:pPr>
                                        <w:pStyle w:val="12"/>
                                        <w:tabs>
                                          <w:tab w:val="right" w:leader="dot" w:pos="8306"/>
                                        </w:tabs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instrText xml:space="preserve">TOC \o "1-1" \h \u </w:instrTex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instrText xml:space="preserve"> HYPERLINK \l _Toc6932 </w:instrTex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Cs/>
                                          <w:sz w:val="28"/>
                                          <w:szCs w:val="28"/>
                                          <w:lang w:val="en-US" w:eastAsia="zh-CN"/>
                                        </w:rPr>
                                        <w:t>一、实验步骤</w: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tab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instrText xml:space="preserve"> PAGEREF _Toc6932 \h </w:instrTex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t>2</w: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end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end"/>
                                      </w:r>
                                    </w:p>
                                    <w:p w14:paraId="7C2C142B">
                                      <w:pPr>
                                        <w:pStyle w:val="12"/>
                                        <w:tabs>
                                          <w:tab w:val="right" w:leader="dot" w:pos="8306"/>
                                        </w:tabs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instrText xml:space="preserve"> HYPERLINK \l _Toc13826 </w:instrTex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t>二、实验主要试剂</w: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tab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instrText xml:space="preserve"> PAGEREF _Toc13826 \h </w:instrTex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t>2</w: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end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end"/>
                                      </w:r>
                                    </w:p>
                                    <w:p w14:paraId="45B75676">
                                      <w:pPr>
                                        <w:pStyle w:val="12"/>
                                        <w:tabs>
                                          <w:tab w:val="right" w:leader="dot" w:pos="8306"/>
                                        </w:tabs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instrText xml:space="preserve"> HYPERLINK \l _Toc18965 </w:instrTex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t>三、实验器材</w: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tab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  <w:lang w:val="en-US" w:eastAsia="zh-CN"/>
                                        </w:rPr>
                                        <w:t>2</w: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end"/>
                                      </w:r>
                                    </w:p>
                                    <w:p w14:paraId="5E362A60">
                                      <w:pPr>
                                        <w:pStyle w:val="12"/>
                                        <w:tabs>
                                          <w:tab w:val="right" w:leader="dot" w:pos="8306"/>
                                        </w:tabs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instrText xml:space="preserve"> HYPERLINK \l _Toc32314 </w:instrTex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Cs/>
                                          <w:sz w:val="28"/>
                                          <w:szCs w:val="28"/>
                                          <w:lang w:val="en-US" w:eastAsia="zh-CN"/>
                                        </w:rPr>
                                        <w:t>四、结果判读</w: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tab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instrText xml:space="preserve"> PAGEREF _Toc32314 \h </w:instrTex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t>3</w: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end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end"/>
                                      </w:r>
                                    </w:p>
                                    <w:p w14:paraId="53433FD0">
                                      <w:pPr>
                                        <w:pStyle w:val="12"/>
                                        <w:tabs>
                                          <w:tab w:val="right" w:leader="dot" w:pos="8306"/>
                                        </w:tabs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begin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instrText xml:space="preserve"> HYPERLINK \l _Toc29663 </w:instrTex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separate"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bCs/>
                                          <w:sz w:val="28"/>
                                          <w:szCs w:val="28"/>
                                          <w:lang w:val="en-US" w:eastAsia="zh-CN"/>
                                        </w:rPr>
                                        <w:t>五、注意事项</w: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tab/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  <w:lang w:val="en-US" w:eastAsia="zh-CN"/>
                                        </w:rPr>
                                        <w:t>3</w:t>
                                      </w: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 w:val="28"/>
                                          <w:szCs w:val="28"/>
                                        </w:rPr>
                                        <w:fldChar w:fldCharType="end"/>
                                      </w:r>
                                    </w:p>
                                    <w:p w14:paraId="77FCDE86">
                                      <w:pPr>
                                        <w:rPr>
                                          <w:rFonts w:hint="eastAsia" w:ascii="楷体" w:hAnsi="楷体" w:eastAsia="楷体" w:cs="楷体"/>
                                          <w:kern w:val="2"/>
                                          <w:sz w:val="21"/>
                                          <w:szCs w:val="28"/>
                                          <w:lang w:val="en-US" w:eastAsia="zh-CN" w:bidi="ar-SA"/>
                                        </w:rPr>
                                      </w:pPr>
                                      <w:r>
                                        <w:rPr>
                                          <w:rFonts w:hint="eastAsia" w:ascii="楷体" w:hAnsi="楷体" w:eastAsia="楷体" w:cs="楷体"/>
                                          <w:szCs w:val="28"/>
                                        </w:rPr>
                                        <w:fldChar w:fldCharType="end"/>
                                      </w:r>
                                    </w:p>
                                  </w:sdtContent>
                                </w:sdt>
                                <w:p w14:paraId="3EB88B29">
                                  <w:pPr>
                                    <w:bidi w:val="0"/>
                                    <w:rPr>
                                      <w:rFonts w:hint="eastAsia" w:ascii="Times New Roman" w:hAnsi="Times New Roman" w:eastAsia="宋体" w:cs="Times New Roman"/>
                                      <w:kern w:val="2"/>
                                      <w:sz w:val="21"/>
                                      <w:szCs w:val="24"/>
                                      <w:lang w:val="en-US" w:eastAsia="zh-CN" w:bidi="ar-SA"/>
                                    </w:rPr>
                                  </w:pPr>
                                </w:p>
                                <w:p w14:paraId="7DEDBF78">
                                  <w:pPr>
                                    <w:bidi w:val="0"/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</w:p>
                                <w:p w14:paraId="429A2F7D">
                                  <w:pPr>
                                    <w:bidi w:val="0"/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</w:p>
                                <w:p w14:paraId="2A41B789">
                                  <w:pPr>
                                    <w:bidi w:val="0"/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</w:p>
                                <w:p w14:paraId="74C1D90E">
                                  <w:pPr>
                                    <w:bidi w:val="0"/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</w:p>
                                <w:p w14:paraId="071D1659">
                                  <w:pPr>
                                    <w:bidi w:val="0"/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</w:p>
                                <w:p w14:paraId="6CAE03CB">
                                  <w:pPr>
                                    <w:bidi w:val="0"/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</w:p>
                                <w:p w14:paraId="5E6795E1">
                                  <w:pPr>
                                    <w:bidi w:val="0"/>
                                    <w:rPr>
                                      <w:rFonts w:hint="eastAsia"/>
                                      <w:lang w:val="en-US" w:eastAsia="zh-CN"/>
                                    </w:rPr>
                                  </w:pPr>
                                </w:p>
                                <w:p w14:paraId="761BFD1D">
                                  <w:pPr>
                                    <w:tabs>
                                      <w:tab w:val="left" w:pos="4806"/>
                                    </w:tabs>
                                    <w:bidi w:val="0"/>
                                    <w:jc w:val="left"/>
                                    <w:rPr>
                                      <w:rFonts w:hint="eastAsia"/>
                                      <w:lang w:val="en-US" w:eastAsia="zh-CN"/>
                                    </w:rPr>
                                    <w:sectPr>
                                      <w:headerReference r:id="rId3" w:type="default"/>
                                      <w:footerReference r:id="rId4" w:type="default"/>
                                      <w:pgSz w:w="11906" w:h="16838"/>
                                      <w:pgMar w:top="1440" w:right="1800" w:bottom="1440" w:left="1800" w:header="851" w:footer="992" w:gutter="0"/>
                                      <w:cols w:space="425" w:num="1"/>
                                      <w:docGrid w:type="lines" w:linePitch="312" w:charSpace="0"/>
                                    </w:sect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ab/>
                                  </w:r>
                                </w:p>
                                <w:p w14:paraId="74B570FD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实验步骤</w:t>
                                  </w:r>
                                </w:p>
                                <w:p w14:paraId="389A83DF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切片常规脱蜡至水,蒸馏水稍洗。</w:t>
                                  </w:r>
                                </w:p>
                                <w:p w14:paraId="60CCA282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将切片置于焦油紫染色液中，并将染缸置于56℃培养箱浸染1h。</w:t>
                                  </w:r>
                                </w:p>
                                <w:p w14:paraId="62B4B2C2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蒸馏水冲洗干净，将切片置于尼氏分化液中分化数秒(在显微镜下观察至背景接近于无色为止)。</w:t>
                                  </w:r>
                                </w:p>
                                <w:p w14:paraId="680CE47F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常规脱水，二甲苯透明。</w:t>
                                  </w:r>
                                </w:p>
                                <w:p w14:paraId="6B3B9E22">
                                  <w:pPr>
                                    <w:numPr>
                                      <w:ilvl w:val="0"/>
                                      <w:numId w:val="2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中性树胶封片，显微镜观察结果。</w:t>
                                  </w:r>
                                </w:p>
                                <w:p w14:paraId="6A0ED535">
                                  <w:pPr>
                                    <w:spacing w:before="312" w:beforeLines="100" w:after="312" w:afterLines="100" w:line="380" w:lineRule="exact"/>
                                    <w:rPr>
                                      <w:rFonts w:hint="eastAsia" w:ascii="楷体" w:hAnsi="楷体" w:eastAsia="楷体" w:cs="楷体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sz w:val="28"/>
                                      <w:szCs w:val="28"/>
                                    </w:rPr>
                                    <w:t>二、实验主要试剂</w:t>
                                  </w:r>
                                </w:p>
                                <w:tbl>
                                  <w:tblPr>
                                    <w:tblStyle w:val="8"/>
                                    <w:tblW w:w="7874" w:type="dxa"/>
                                    <w:tblInd w:w="189" w:type="dxa"/>
                                    <w:tblBorders>
                                      <w:top w:val="single" w:color="auto" w:sz="12" w:space="0"/>
                                      <w:left w:val="none" w:color="auto" w:sz="0" w:space="0"/>
                                      <w:bottom w:val="single" w:color="auto" w:sz="12" w:space="0"/>
                                      <w:right w:val="none" w:color="auto" w:sz="0" w:space="0"/>
                                      <w:insideH w:val="none" w:color="auto" w:sz="0" w:space="0"/>
                                      <w:insideV w:val="none" w:color="auto" w:sz="0" w:space="0"/>
                                    </w:tblBorders>
                                    <w:tblLayout w:type="fixed"/>
                                    <w:tblCell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blCellMar>
                                  </w:tblPr>
                                  <w:tblGrid>
                                    <w:gridCol w:w="2677"/>
                                    <w:gridCol w:w="2616"/>
                                    <w:gridCol w:w="2581"/>
                                  </w:tblGrid>
                                  <w:tr w14:paraId="45154B3A">
                                    <w:tblPrEx>
                                      <w:tblBorders>
                                        <w:top w:val="single" w:color="auto" w:sz="12" w:space="0"/>
                                        <w:left w:val="none" w:color="auto" w:sz="0" w:space="0"/>
                                        <w:bottom w:val="single" w:color="auto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05" w:hRule="atLeast"/>
                                    </w:trPr>
                                    <w:tc>
                                      <w:tcPr>
                                        <w:tcW w:w="2677" w:type="dxa"/>
                                        <w:tcBorders>
                                          <w:top w:val="single" w:color="auto" w:sz="12" w:space="0"/>
                                          <w:bottom w:val="single" w:color="auto" w:sz="12" w:space="0"/>
                                        </w:tcBorders>
                                        <w:noWrap w:val="0"/>
                                        <w:vAlign w:val="top"/>
                                      </w:tcPr>
                                      <w:p w14:paraId="7BE3EF73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试剂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16" w:type="dxa"/>
                                        <w:tcBorders>
                                          <w:top w:val="single" w:color="auto" w:sz="12" w:space="0"/>
                                          <w:bottom w:val="single" w:color="auto" w:sz="12" w:space="0"/>
                                        </w:tcBorders>
                                        <w:noWrap w:val="0"/>
                                        <w:vAlign w:val="top"/>
                                      </w:tcPr>
                                      <w:p w14:paraId="6911E42B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厂家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81" w:type="dxa"/>
                                        <w:tcBorders>
                                          <w:top w:val="single" w:color="auto" w:sz="12" w:space="0"/>
                                          <w:bottom w:val="single" w:color="auto" w:sz="12" w:space="0"/>
                                        </w:tcBorders>
                                        <w:noWrap w:val="0"/>
                                        <w:vAlign w:val="top"/>
                                      </w:tcPr>
                                      <w:p w14:paraId="4DE4D5F7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货号</w:t>
                                        </w:r>
                                      </w:p>
                                    </w:tc>
                                  </w:tr>
                                  <w:tr w14:paraId="2F9B83D6">
                                    <w:tblPrEx>
                                      <w:tblBorders>
                                        <w:top w:val="single" w:color="auto" w:sz="12" w:space="0"/>
                                        <w:left w:val="none" w:color="auto" w:sz="0" w:space="0"/>
                                        <w:bottom w:val="single" w:color="auto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30" w:hRule="atLeast"/>
                                    </w:trPr>
                                    <w:tc>
                                      <w:tcPr>
                                        <w:tcW w:w="2677" w:type="dxa"/>
                                        <w:noWrap w:val="0"/>
                                        <w:vAlign w:val="center"/>
                                      </w:tcPr>
                                      <w:p w14:paraId="55204E6E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  <w:t>二甲苯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16" w:type="dxa"/>
                                        <w:noWrap w:val="0"/>
                                        <w:vAlign w:val="center"/>
                                      </w:tcPr>
                                      <w:p w14:paraId="29AC43E1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 w:val="0"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 w:val="0"/>
                                            <w:bCs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  <w:t>天津市凯通化学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81" w:type="dxa"/>
                                        <w:noWrap w:val="0"/>
                                        <w:vAlign w:val="center"/>
                                      </w:tcPr>
                                      <w:p w14:paraId="32FBA7FC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无</w:t>
                                        </w:r>
                                      </w:p>
                                    </w:tc>
                                  </w:tr>
                                  <w:tr w14:paraId="0887FED3">
                                    <w:tblPrEx>
                                      <w:tblBorders>
                                        <w:top w:val="single" w:color="auto" w:sz="12" w:space="0"/>
                                        <w:left w:val="none" w:color="auto" w:sz="0" w:space="0"/>
                                        <w:bottom w:val="single" w:color="auto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30" w:hRule="atLeast"/>
                                    </w:trPr>
                                    <w:tc>
                                      <w:tcPr>
                                        <w:tcW w:w="2677" w:type="dxa"/>
                                        <w:noWrap w:val="0"/>
                                        <w:vAlign w:val="center"/>
                                      </w:tcPr>
                                      <w:p w14:paraId="724B00B2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  <w:t>无水乙醇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16" w:type="dxa"/>
                                        <w:noWrap w:val="0"/>
                                        <w:vAlign w:val="center"/>
                                      </w:tcPr>
                                      <w:p w14:paraId="14EC22AD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 w:val="0"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 w:val="0"/>
                                            <w:bCs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  <w:t>上海广诺化学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81" w:type="dxa"/>
                                        <w:noWrap w:val="0"/>
                                        <w:vAlign w:val="center"/>
                                      </w:tcPr>
                                      <w:p w14:paraId="7C602BB4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无</w:t>
                                        </w:r>
                                      </w:p>
                                    </w:tc>
                                  </w:tr>
                                  <w:tr w14:paraId="27D831F0">
                                    <w:tblPrEx>
                                      <w:tblBorders>
                                        <w:top w:val="single" w:color="auto" w:sz="12" w:space="0"/>
                                        <w:left w:val="none" w:color="auto" w:sz="0" w:space="0"/>
                                        <w:bottom w:val="single" w:color="auto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30" w:hRule="atLeast"/>
                                    </w:trPr>
                                    <w:tc>
                                      <w:tcPr>
                                        <w:tcW w:w="2677" w:type="dxa"/>
                                        <w:noWrap w:val="0"/>
                                        <w:vAlign w:val="center"/>
                                      </w:tcPr>
                                      <w:p w14:paraId="2E267078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  <w:t>尼氏染色试剂盒（焦油紫法）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16" w:type="dxa"/>
                                        <w:noWrap w:val="0"/>
                                        <w:vAlign w:val="center"/>
                                      </w:tcPr>
                                      <w:p w14:paraId="09B07F80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 w:val="0"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Solarbio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81" w:type="dxa"/>
                                        <w:noWrap w:val="0"/>
                                        <w:vAlign w:val="center"/>
                                      </w:tcPr>
                                      <w:p w14:paraId="35A711B0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G1430</w:t>
                                        </w:r>
                                      </w:p>
                                    </w:tc>
                                  </w:tr>
                                  <w:tr w14:paraId="2BC39C96">
                                    <w:tblPrEx>
                                      <w:tblBorders>
                                        <w:top w:val="single" w:color="auto" w:sz="12" w:space="0"/>
                                        <w:left w:val="none" w:color="auto" w:sz="0" w:space="0"/>
                                        <w:bottom w:val="single" w:color="auto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15" w:hRule="atLeast"/>
                                    </w:trPr>
                                    <w:tc>
                                      <w:tcPr>
                                        <w:tcW w:w="2677" w:type="dxa"/>
                                        <w:noWrap w:val="0"/>
                                        <w:vAlign w:val="center"/>
                                      </w:tcPr>
                                      <w:p w14:paraId="0DFEA140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  <w:t>中性树胶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616" w:type="dxa"/>
                                        <w:noWrap w:val="0"/>
                                        <w:vAlign w:val="top"/>
                                      </w:tcPr>
                                      <w:p w14:paraId="44812135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无锡江原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81" w:type="dxa"/>
                                        <w:noWrap w:val="0"/>
                                        <w:vAlign w:val="top"/>
                                      </w:tcPr>
                                      <w:p w14:paraId="4DF67AC3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ZLI-9516</w:t>
                                        </w:r>
                                      </w:p>
                                    </w:tc>
                                  </w:tr>
                                </w:tbl>
                                <w:p w14:paraId="54235DF9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  <w:p w14:paraId="678AC99A">
                                  <w:pPr>
                                    <w:spacing w:after="156" w:afterLines="50" w:line="380" w:lineRule="exact"/>
                                    <w:rPr>
                                      <w:rFonts w:hint="eastAsia" w:ascii="楷体" w:hAnsi="楷体" w:eastAsia="楷体" w:cs="楷体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sz w:val="28"/>
                                      <w:szCs w:val="28"/>
                                    </w:rPr>
                                    <w:t>三、实验器材</w:t>
                                  </w:r>
                                </w:p>
                                <w:tbl>
                                  <w:tblPr>
                                    <w:tblStyle w:val="8"/>
                                    <w:tblpPr w:leftFromText="180" w:rightFromText="180" w:vertAnchor="text" w:horzAnchor="page" w:tblpX="1960" w:tblpY="205"/>
                                    <w:tblOverlap w:val="never"/>
                                    <w:tblW w:w="7939" w:type="dxa"/>
                                    <w:tblInd w:w="0" w:type="dxa"/>
                                    <w:tblBorders>
                                      <w:top w:val="single" w:color="000000" w:sz="12" w:space="0"/>
                                      <w:left w:val="none" w:color="auto" w:sz="0" w:space="0"/>
                                      <w:bottom w:val="single" w:color="000000" w:sz="12" w:space="0"/>
                                      <w:right w:val="none" w:color="auto" w:sz="0" w:space="0"/>
                                      <w:insideH w:val="none" w:color="auto" w:sz="0" w:space="0"/>
                                      <w:insideV w:val="none" w:color="auto" w:sz="0" w:space="0"/>
                                    </w:tblBorders>
                                    <w:tblLayout w:type="fixed"/>
                                    <w:tblCellMar>
                                      <w:top w:w="0" w:type="dxa"/>
                                      <w:left w:w="108" w:type="dxa"/>
                                      <w:bottom w:w="0" w:type="dxa"/>
                                      <w:right w:w="108" w:type="dxa"/>
                                    </w:tblCellMar>
                                  </w:tblPr>
                                  <w:tblGrid>
                                    <w:gridCol w:w="3090"/>
                                    <w:gridCol w:w="2529"/>
                                    <w:gridCol w:w="2320"/>
                                  </w:tblGrid>
                                  <w:tr w14:paraId="46614F8F">
                                    <w:tblPrEx>
                                      <w:tblBorders>
                                        <w:top w:val="single" w:color="000000" w:sz="12" w:space="0"/>
                                        <w:left w:val="none" w:color="auto" w:sz="0" w:space="0"/>
                                        <w:bottom w:val="single" w:color="000000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68" w:hRule="atLeast"/>
                                    </w:trPr>
                                    <w:tc>
                                      <w:tcPr>
                                        <w:tcW w:w="3090" w:type="dxa"/>
                                        <w:tcBorders>
                                          <w:top w:val="single" w:color="000000" w:sz="12" w:space="0"/>
                                          <w:bottom w:val="single" w:color="000000" w:sz="12" w:space="0"/>
                                        </w:tcBorders>
                                        <w:noWrap w:val="0"/>
                                        <w:vAlign w:val="top"/>
                                      </w:tcPr>
                                      <w:p w14:paraId="70EF7020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sz w:val="28"/>
                                            <w:szCs w:val="28"/>
                                          </w:rPr>
                                          <w:t>名称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29" w:type="dxa"/>
                                        <w:tcBorders>
                                          <w:top w:val="single" w:color="000000" w:sz="12" w:space="0"/>
                                          <w:bottom w:val="single" w:color="000000" w:sz="12" w:space="0"/>
                                        </w:tcBorders>
                                        <w:noWrap w:val="0"/>
                                        <w:vAlign w:val="top"/>
                                      </w:tcPr>
                                      <w:p w14:paraId="69AD0E05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厂家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0" w:type="dxa"/>
                                        <w:tcBorders>
                                          <w:top w:val="single" w:color="000000" w:sz="12" w:space="0"/>
                                          <w:bottom w:val="single" w:color="000000" w:sz="12" w:space="0"/>
                                        </w:tcBorders>
                                        <w:noWrap w:val="0"/>
                                        <w:vAlign w:val="top"/>
                                      </w:tcPr>
                                      <w:p w14:paraId="68DD6F68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型号</w:t>
                                        </w:r>
                                      </w:p>
                                    </w:tc>
                                  </w:tr>
                                  <w:tr w14:paraId="028203FD">
                                    <w:tblPrEx>
                                      <w:tblBorders>
                                        <w:top w:val="single" w:color="000000" w:sz="12" w:space="0"/>
                                        <w:left w:val="none" w:color="auto" w:sz="0" w:space="0"/>
                                        <w:bottom w:val="single" w:color="000000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339" w:hRule="atLeast"/>
                                    </w:trPr>
                                    <w:tc>
                                      <w:tcPr>
                                        <w:tcW w:w="3090" w:type="dxa"/>
                                        <w:tcBorders>
                                          <w:top w:val="single" w:color="000000" w:sz="12" w:space="0"/>
                                        </w:tcBorders>
                                        <w:noWrap w:val="0"/>
                                        <w:vAlign w:val="top"/>
                                      </w:tcPr>
                                      <w:p w14:paraId="70E06DA2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  <w:t>生物组织自动脱水机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29" w:type="dxa"/>
                                        <w:tcBorders>
                                          <w:top w:val="single" w:color="000000" w:sz="12" w:space="0"/>
                                        </w:tcBorders>
                                        <w:noWrap w:val="0"/>
                                        <w:vAlign w:val="top"/>
                                      </w:tcPr>
                                      <w:p w14:paraId="48CFA67E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湖北亚光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0" w:type="dxa"/>
                                        <w:tcBorders>
                                          <w:top w:val="single" w:color="000000" w:sz="12" w:space="0"/>
                                        </w:tcBorders>
                                        <w:noWrap w:val="0"/>
                                        <w:vAlign w:val="top"/>
                                      </w:tcPr>
                                      <w:p w14:paraId="673EDFC8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ZT-12M</w:t>
                                        </w:r>
                                      </w:p>
                                    </w:tc>
                                  </w:tr>
                                  <w:tr w14:paraId="404C6EC1">
                                    <w:tblPrEx>
                                      <w:tblBorders>
                                        <w:top w:val="single" w:color="000000" w:sz="12" w:space="0"/>
                                        <w:left w:val="none" w:color="auto" w:sz="0" w:space="0"/>
                                        <w:bottom w:val="single" w:color="000000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19" w:hRule="atLeast"/>
                                    </w:trPr>
                                    <w:tc>
                                      <w:tcPr>
                                        <w:tcW w:w="3090" w:type="dxa"/>
                                        <w:noWrap w:val="0"/>
                                        <w:vAlign w:val="top"/>
                                      </w:tcPr>
                                      <w:p w14:paraId="2483153C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 w:val="0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 w:val="0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生物组织包埋机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29" w:type="dxa"/>
                                        <w:noWrap w:val="0"/>
                                        <w:vAlign w:val="top"/>
                                      </w:tcPr>
                                      <w:p w14:paraId="5E0E8BDE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  <w:t>湖北亚光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0" w:type="dxa"/>
                                        <w:noWrap w:val="0"/>
                                        <w:vAlign w:val="top"/>
                                      </w:tcPr>
                                      <w:p w14:paraId="2A233EA5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YB-7LF</w:t>
                                        </w:r>
                                      </w:p>
                                    </w:tc>
                                  </w:tr>
                                  <w:tr w14:paraId="0B3C472E">
                                    <w:tblPrEx>
                                      <w:tblBorders>
                                        <w:top w:val="single" w:color="000000" w:sz="12" w:space="0"/>
                                        <w:left w:val="none" w:color="auto" w:sz="0" w:space="0"/>
                                        <w:bottom w:val="single" w:color="000000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19" w:hRule="atLeast"/>
                                    </w:trPr>
                                    <w:tc>
                                      <w:tcPr>
                                        <w:tcW w:w="3090" w:type="dxa"/>
                                        <w:noWrap w:val="0"/>
                                        <w:vAlign w:val="top"/>
                                      </w:tcPr>
                                      <w:p w14:paraId="25483E80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 w:val="0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</w:rPr>
                                          <w:t>徕卡切片机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29" w:type="dxa"/>
                                        <w:noWrap w:val="0"/>
                                        <w:vAlign w:val="top"/>
                                      </w:tcPr>
                                      <w:p w14:paraId="663F4560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</w:rPr>
                                          <w:t>Leica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0" w:type="dxa"/>
                                        <w:noWrap w:val="0"/>
                                        <w:vAlign w:val="top"/>
                                      </w:tcPr>
                                      <w:p w14:paraId="2DF43DA0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RM2016</w:t>
                                        </w:r>
                                      </w:p>
                                    </w:tc>
                                  </w:tr>
                                  <w:tr w14:paraId="546A4FB8">
                                    <w:tblPrEx>
                                      <w:tblBorders>
                                        <w:top w:val="single" w:color="000000" w:sz="12" w:space="0"/>
                                        <w:left w:val="none" w:color="auto" w:sz="0" w:space="0"/>
                                        <w:bottom w:val="single" w:color="000000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19" w:hRule="atLeast"/>
                                    </w:trPr>
                                    <w:tc>
                                      <w:tcPr>
                                        <w:tcW w:w="3090" w:type="dxa"/>
                                        <w:noWrap w:val="0"/>
                                        <w:vAlign w:val="top"/>
                                      </w:tcPr>
                                      <w:p w14:paraId="5D9F2840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 w:val="0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切片刀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29" w:type="dxa"/>
                                        <w:noWrap w:val="0"/>
                                        <w:vAlign w:val="top"/>
                                      </w:tcPr>
                                      <w:p w14:paraId="6DFF5167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</w:rPr>
                                          <w:t>Leica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0" w:type="dxa"/>
                                        <w:noWrap w:val="0"/>
                                        <w:vAlign w:val="top"/>
                                      </w:tcPr>
                                      <w:p w14:paraId="402F066A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Leica 819</w:t>
                                        </w:r>
                                      </w:p>
                                    </w:tc>
                                  </w:tr>
                                  <w:tr w14:paraId="70D7BBD3">
                                    <w:tblPrEx>
                                      <w:tblBorders>
                                        <w:top w:val="single" w:color="000000" w:sz="12" w:space="0"/>
                                        <w:left w:val="none" w:color="auto" w:sz="0" w:space="0"/>
                                        <w:bottom w:val="single" w:color="000000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19" w:hRule="atLeast"/>
                                    </w:trPr>
                                    <w:tc>
                                      <w:tcPr>
                                        <w:tcW w:w="3090" w:type="dxa"/>
                                        <w:noWrap w:val="0"/>
                                        <w:vAlign w:val="top"/>
                                      </w:tcPr>
                                      <w:p w14:paraId="78423DBE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 w:val="0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</w:rPr>
                                          <w:t>隔水式恒温培养箱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29" w:type="dxa"/>
                                        <w:noWrap w:val="0"/>
                                        <w:vAlign w:val="top"/>
                                      </w:tcPr>
                                      <w:p w14:paraId="01AA25A6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</w:rPr>
                                          <w:t>上海三发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0" w:type="dxa"/>
                                        <w:noWrap w:val="0"/>
                                        <w:vAlign w:val="top"/>
                                      </w:tcPr>
                                      <w:p w14:paraId="351E41D6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</w:rPr>
                                          <w:t>GNP-9080</w:t>
                                        </w:r>
                                      </w:p>
                                    </w:tc>
                                  </w:tr>
                                  <w:tr w14:paraId="19CFE8A7">
                                    <w:tblPrEx>
                                      <w:tblBorders>
                                        <w:top w:val="single" w:color="000000" w:sz="12" w:space="0"/>
                                        <w:left w:val="none" w:color="auto" w:sz="0" w:space="0"/>
                                        <w:bottom w:val="single" w:color="000000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387" w:hRule="atLeast"/>
                                    </w:trPr>
                                    <w:tc>
                                      <w:tcPr>
                                        <w:tcW w:w="3090" w:type="dxa"/>
                                        <w:noWrap w:val="0"/>
                                        <w:vAlign w:val="top"/>
                                      </w:tcPr>
                                      <w:p w14:paraId="4D124914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  <w:lang w:val="en-US" w:eastAsia="zh-CN"/>
                                          </w:rPr>
                                          <w:t>粘附载玻片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29" w:type="dxa"/>
                                        <w:noWrap w:val="0"/>
                                        <w:vAlign w:val="top"/>
                                      </w:tcPr>
                                      <w:p w14:paraId="799ED34E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ebiogo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0" w:type="dxa"/>
                                        <w:noWrap w:val="0"/>
                                        <w:vAlign w:val="top"/>
                                      </w:tcPr>
                                      <w:p w14:paraId="5271BB21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B004</w:t>
                                        </w:r>
                                      </w:p>
                                    </w:tc>
                                  </w:tr>
                                  <w:tr w14:paraId="649D1073">
                                    <w:tblPrEx>
                                      <w:tblBorders>
                                        <w:top w:val="single" w:color="000000" w:sz="12" w:space="0"/>
                                        <w:left w:val="none" w:color="auto" w:sz="0" w:space="0"/>
                                        <w:bottom w:val="single" w:color="000000" w:sz="12" w:space="0"/>
                                        <w:right w:val="none" w:color="auto" w:sz="0" w:space="0"/>
                                        <w:insideH w:val="none" w:color="auto" w:sz="0" w:space="0"/>
                                        <w:insideV w:val="none" w:color="auto" w:sz="0" w:space="0"/>
                                      </w:tblBorders>
                                      <w:tblCellMar>
                                        <w:top w:w="0" w:type="dxa"/>
                                        <w:left w:w="108" w:type="dxa"/>
                                        <w:bottom w:w="0" w:type="dxa"/>
                                        <w:right w:w="108" w:type="dxa"/>
                                      </w:tblCellMar>
                                    </w:tblPrEx>
                                    <w:trPr>
                                      <w:trHeight w:val="419" w:hRule="atLeast"/>
                                    </w:trPr>
                                    <w:tc>
                                      <w:tcPr>
                                        <w:tcW w:w="3090" w:type="dxa"/>
                                        <w:noWrap w:val="0"/>
                                        <w:vAlign w:val="top"/>
                                      </w:tcPr>
                                      <w:p w14:paraId="10E172DC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sz w:val="28"/>
                                            <w:szCs w:val="28"/>
                                          </w:rPr>
                                          <w:t>显微镜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529" w:type="dxa"/>
                                        <w:noWrap w:val="0"/>
                                        <w:vAlign w:val="top"/>
                                      </w:tcPr>
                                      <w:p w14:paraId="74E8202C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OLYMPUS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2320" w:type="dxa"/>
                                        <w:noWrap w:val="0"/>
                                        <w:vAlign w:val="top"/>
                                      </w:tcPr>
                                      <w:p w14:paraId="79F2FF80">
                                        <w:pPr>
                                          <w:spacing w:line="380" w:lineRule="exact"/>
                                          <w:jc w:val="center"/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</w:rPr>
                                        </w:pPr>
                                        <w:r>
                                          <w:rPr>
                                            <w:rFonts w:hint="eastAsia" w:ascii="楷体" w:hAnsi="楷体" w:eastAsia="楷体" w:cs="楷体"/>
                                            <w:bCs/>
                                            <w:sz w:val="28"/>
                                            <w:szCs w:val="28"/>
                                          </w:rPr>
                                          <w:t>CX41</w:t>
                                        </w:r>
                                      </w:p>
                                    </w:tc>
                                  </w:tr>
                                </w:tbl>
                                <w:p w14:paraId="3E44C47D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  <w:p w14:paraId="3538F786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四、结果判读</w:t>
                                  </w:r>
                                </w:p>
                                <w:p w14:paraId="5CC234B5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尼氏体呈蓝紫色颗粒或斑块状，染色背景接近无色或浅蓝色</w:t>
                                  </w: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。</w:t>
                                  </w:r>
                                </w:p>
                                <w:p w14:paraId="310429AC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5266690" cy="2833370"/>
                                        <wp:effectExtent l="0" t="0" r="10160" b="5080"/>
                                        <wp:docPr id="3" name="图片 3" descr="2_36.4x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图片 3" descr="2_36.4x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266690" cy="28333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EFCA09A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jc w:val="center"/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 w:val="0"/>
                                      <w:bCs w:val="0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示例图（脑组织）</w:t>
                                  </w:r>
                                </w:p>
                                <w:p w14:paraId="3C1FA8D4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五、注意事项</w:t>
                                  </w:r>
                                </w:p>
                                <w:p w14:paraId="49820DE4">
                                  <w:pPr>
                                    <w:keepNext w:val="0"/>
                                    <w:keepLines w:val="0"/>
                                    <w:widowControl/>
                                    <w:numPr>
                                      <w:ilvl w:val="0"/>
                                      <w:numId w:val="3"/>
                                    </w:numPr>
                                    <w:suppressLineNumbers w:val="0"/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color w:val="151515"/>
                                      <w:kern w:val="0"/>
                                      <w:sz w:val="28"/>
                                      <w:szCs w:val="28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color w:val="151515"/>
                                      <w:kern w:val="0"/>
                                      <w:sz w:val="28"/>
                                      <w:szCs w:val="28"/>
                                      <w:lang w:val="en-US" w:eastAsia="zh-CN" w:bidi="ar"/>
                                    </w:rPr>
                                    <w:t>用于尼氏体染色的组织要新鲜，离体后立即固定。否则尼氏体易溶解而着色困难。</w:t>
                                  </w:r>
                                </w:p>
                                <w:p w14:paraId="6A77A186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color w:val="151515"/>
                                      <w:kern w:val="0"/>
                                      <w:sz w:val="28"/>
                                      <w:szCs w:val="28"/>
                                      <w:lang w:val="en-US" w:eastAsia="zh-CN" w:bidi="ar"/>
                                    </w:rPr>
                                  </w:pPr>
                                  <w:r>
                                    <w:rPr>
                                      <w:rFonts w:hint="eastAsia" w:ascii="楷体" w:hAnsi="楷体" w:eastAsia="楷体" w:cs="楷体"/>
                                      <w:color w:val="151515"/>
                                      <w:kern w:val="0"/>
                                      <w:sz w:val="28"/>
                                      <w:szCs w:val="28"/>
                                      <w:lang w:val="en-US" w:eastAsia="zh-CN" w:bidi="ar"/>
                                    </w:rPr>
                                    <w:t>2.尼氏体染色切片需避光保存，否则容易褪色。</w:t>
                                  </w:r>
                                </w:p>
                                <w:p w14:paraId="2FE8C852">
                                  <w:pPr>
                                    <w:numPr>
                                      <w:ilvl w:val="0"/>
                                      <w:numId w:val="0"/>
                                    </w:numPr>
                                    <w:ind w:leftChars="0"/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b/>
                                      <w:bCs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</w:p>
                                <w:p w14:paraId="0F77BA70">
                                  <w:pPr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8EC0C06">
                                  <w:pPr>
                                    <w:tabs>
                                      <w:tab w:val="left" w:pos="5226"/>
                                    </w:tabs>
                                    <w:bidi w:val="0"/>
                                    <w:jc w:val="left"/>
                                    <w:rPr>
                                      <w:rFonts w:hint="eastAsia" w:ascii="楷体" w:hAnsi="楷体" w:eastAsia="楷体" w:cs="楷体"/>
                                      <w:kern w:val="2"/>
                                      <w:sz w:val="21"/>
                                      <w:szCs w:val="28"/>
                                      <w:lang w:val="en-US" w:eastAsia="zh-CN" w:bidi="ar-SA"/>
                                    </w:rPr>
                                  </w:pPr>
                                </w:p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6F72A479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03D81543">
      <w:pPr>
        <w:bidi w:val="0"/>
        <w:rPr>
          <w:rFonts w:hint="eastAsia"/>
          <w:lang w:val="en-US" w:eastAsia="zh-CN"/>
        </w:rPr>
      </w:pPr>
    </w:p>
    <w:p w14:paraId="0CAAB9FB">
      <w:pPr>
        <w:bidi w:val="0"/>
        <w:rPr>
          <w:rFonts w:hint="eastAsia"/>
          <w:lang w:val="en-US" w:eastAsia="zh-CN"/>
        </w:rPr>
      </w:pPr>
    </w:p>
    <w:p w14:paraId="461CC8F2">
      <w:pPr>
        <w:tabs>
          <w:tab w:val="left" w:pos="5496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81391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3A59526D">
    <w:pPr>
      <w:pStyle w:val="4"/>
      <w:tabs>
        <w:tab w:val="left" w:pos="4950"/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5B586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8660798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2">
    <w:nsid w:val="2CD8FDEE"/>
    <w:multiLevelType w:val="singleLevel"/>
    <w:tmpl w:val="2CD8FDE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QwYjVmZDk1NDRjMGY0NGNkZTAyNjRkYjFhZjI2NzQ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4A2DCC"/>
    <w:rsid w:val="030F29AD"/>
    <w:rsid w:val="034F0512"/>
    <w:rsid w:val="06F061D0"/>
    <w:rsid w:val="0A5B7E05"/>
    <w:rsid w:val="0BFC73C5"/>
    <w:rsid w:val="11C961EA"/>
    <w:rsid w:val="141F6C43"/>
    <w:rsid w:val="1611159F"/>
    <w:rsid w:val="16223ECC"/>
    <w:rsid w:val="19E13813"/>
    <w:rsid w:val="19F168E6"/>
    <w:rsid w:val="1FCF636D"/>
    <w:rsid w:val="213C22E6"/>
    <w:rsid w:val="214014EE"/>
    <w:rsid w:val="2503311B"/>
    <w:rsid w:val="277F3EA7"/>
    <w:rsid w:val="2802590C"/>
    <w:rsid w:val="30BC3E94"/>
    <w:rsid w:val="32904240"/>
    <w:rsid w:val="331631D6"/>
    <w:rsid w:val="33D75E9F"/>
    <w:rsid w:val="34215AE7"/>
    <w:rsid w:val="374675C3"/>
    <w:rsid w:val="3A033549"/>
    <w:rsid w:val="3BC6185D"/>
    <w:rsid w:val="3BF515B8"/>
    <w:rsid w:val="3D5567B2"/>
    <w:rsid w:val="3DD90787"/>
    <w:rsid w:val="42E44134"/>
    <w:rsid w:val="440700DA"/>
    <w:rsid w:val="4CB31A29"/>
    <w:rsid w:val="4FA709C3"/>
    <w:rsid w:val="4FDC58AC"/>
    <w:rsid w:val="52666914"/>
    <w:rsid w:val="537A08C9"/>
    <w:rsid w:val="57F6257F"/>
    <w:rsid w:val="582405D8"/>
    <w:rsid w:val="5A5B561B"/>
    <w:rsid w:val="5A6A2FC4"/>
    <w:rsid w:val="5E4E33E7"/>
    <w:rsid w:val="620C1765"/>
    <w:rsid w:val="624E485E"/>
    <w:rsid w:val="63916465"/>
    <w:rsid w:val="67696832"/>
    <w:rsid w:val="69F61DD7"/>
    <w:rsid w:val="6AD40467"/>
    <w:rsid w:val="6E7F4B8D"/>
    <w:rsid w:val="70404B7F"/>
    <w:rsid w:val="71407606"/>
    <w:rsid w:val="731E3A64"/>
    <w:rsid w:val="75D0200F"/>
    <w:rsid w:val="76AA50D9"/>
    <w:rsid w:val="793B5B55"/>
    <w:rsid w:val="794B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472</Words>
  <Characters>553</Characters>
  <Lines>27</Lines>
  <Paragraphs>7</Paragraphs>
  <TotalTime>0</TotalTime>
  <ScaleCrop>false</ScaleCrop>
  <LinksUpToDate>false</LinksUpToDate>
  <CharactersWithSpaces>573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2026-01-08T03:52:35Z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