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66AAD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3E32F51B">
      <w:pPr>
        <w:jc w:val="center"/>
        <w:rPr>
          <w:rFonts w:eastAsia="楷体"/>
          <w:b/>
          <w:sz w:val="52"/>
          <w:szCs w:val="52"/>
        </w:rPr>
      </w:pPr>
    </w:p>
    <w:p w14:paraId="39EB1BB4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28A1A9A3">
      <w:pPr>
        <w:jc w:val="center"/>
        <w:rPr>
          <w:rFonts w:eastAsia="楷体"/>
          <w:sz w:val="52"/>
          <w:szCs w:val="52"/>
        </w:rPr>
      </w:pPr>
    </w:p>
    <w:p w14:paraId="14E9CC42">
      <w:pPr>
        <w:jc w:val="center"/>
        <w:rPr>
          <w:rFonts w:eastAsia="楷体"/>
          <w:sz w:val="28"/>
          <w:szCs w:val="28"/>
        </w:rPr>
      </w:pPr>
    </w:p>
    <w:p w14:paraId="0B324649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项目名称：β-半乳糖苷酶</w:t>
      </w:r>
      <w:r>
        <w:rPr>
          <w:rFonts w:hint="eastAsia" w:eastAsia="楷体"/>
          <w:sz w:val="28"/>
          <w:szCs w:val="28"/>
          <w:lang w:val="en-US" w:eastAsia="zh-CN"/>
        </w:rPr>
        <w:t>染色</w:t>
      </w:r>
    </w:p>
    <w:p w14:paraId="1D8C9CAD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61057F0B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35FDAB63">
      <w:pPr>
        <w:rPr>
          <w:rFonts w:eastAsia="楷体"/>
          <w:sz w:val="28"/>
          <w:szCs w:val="28"/>
        </w:rPr>
      </w:pPr>
    </w:p>
    <w:p w14:paraId="40949974">
      <w:pPr>
        <w:rPr>
          <w:rFonts w:eastAsia="楷体"/>
          <w:sz w:val="28"/>
          <w:szCs w:val="28"/>
        </w:rPr>
      </w:pPr>
    </w:p>
    <w:p w14:paraId="0B499EEF">
      <w:pPr>
        <w:rPr>
          <w:rFonts w:eastAsia="楷体"/>
          <w:sz w:val="28"/>
          <w:szCs w:val="28"/>
        </w:rPr>
      </w:pPr>
    </w:p>
    <w:p w14:paraId="0A500B59">
      <w:pPr>
        <w:rPr>
          <w:rFonts w:eastAsia="楷体"/>
          <w:sz w:val="28"/>
          <w:szCs w:val="28"/>
        </w:rPr>
      </w:pPr>
      <w:bookmarkStart w:id="5" w:name="_GoBack"/>
      <w:bookmarkEnd w:id="5"/>
    </w:p>
    <w:p w14:paraId="780B6001">
      <w:pPr>
        <w:rPr>
          <w:rFonts w:eastAsia="楷体"/>
          <w:sz w:val="28"/>
          <w:szCs w:val="28"/>
        </w:rPr>
      </w:pPr>
    </w:p>
    <w:p w14:paraId="1B067984">
      <w:pPr>
        <w:spacing w:line="360" w:lineRule="auto"/>
        <w:rPr>
          <w:rFonts w:eastAsia="楷体"/>
          <w:sz w:val="28"/>
          <w:szCs w:val="28"/>
        </w:rPr>
      </w:pPr>
    </w:p>
    <w:p w14:paraId="0FCAE956">
      <w:pPr>
        <w:spacing w:line="360" w:lineRule="auto"/>
        <w:rPr>
          <w:rFonts w:eastAsia="楷体"/>
          <w:sz w:val="28"/>
          <w:szCs w:val="28"/>
        </w:rPr>
      </w:pPr>
    </w:p>
    <w:p w14:paraId="0198EB65">
      <w:pPr>
        <w:spacing w:line="360" w:lineRule="auto"/>
        <w:rPr>
          <w:rFonts w:eastAsia="楷体"/>
          <w:sz w:val="28"/>
          <w:szCs w:val="28"/>
        </w:rPr>
      </w:pPr>
    </w:p>
    <w:p w14:paraId="7EE442F8">
      <w:pPr>
        <w:spacing w:line="360" w:lineRule="auto"/>
        <w:rPr>
          <w:rFonts w:eastAsia="楷体"/>
          <w:sz w:val="28"/>
          <w:szCs w:val="28"/>
        </w:rPr>
      </w:pPr>
    </w:p>
    <w:p w14:paraId="0DF49F50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4662C88F">
      <w:pPr>
        <w:spacing w:line="360" w:lineRule="auto"/>
        <w:ind w:firstLine="5040" w:firstLineChars="1800"/>
        <w:jc w:val="center"/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6-1-19</w:t>
      </w:r>
    </w:p>
    <w:p w14:paraId="14656634">
      <w:pPr>
        <w:tabs>
          <w:tab w:val="left" w:pos="5248"/>
        </w:tabs>
        <w:jc w:val="left"/>
        <w:rPr>
          <w:rFonts w:eastAsia="楷体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1391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58501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p w14:paraId="4E237138">
              <w:pPr>
                <w:spacing w:before="0" w:beforeLines="0" w:after="0" w:afterLines="0" w:line="240" w:lineRule="auto"/>
                <w:ind w:left="0" w:leftChars="0" w:right="0" w:rightChars="0" w:firstLine="0" w:firstLineChars="0"/>
                <w:jc w:val="center"/>
                <w:rPr>
                  <w:rFonts w:hint="eastAsia" w:ascii="楷体" w:hAnsi="楷体" w:eastAsia="楷体" w:cs="楷体"/>
                  <w:sz w:val="52"/>
                  <w:szCs w:val="52"/>
                </w:rPr>
              </w:pPr>
              <w:r>
                <w:rPr>
                  <w:rFonts w:hint="eastAsia" w:ascii="楷体" w:hAnsi="楷体" w:eastAsia="楷体" w:cs="楷体"/>
                  <w:sz w:val="52"/>
                  <w:szCs w:val="52"/>
                </w:rPr>
                <w:t>目录</w:t>
              </w:r>
            </w:p>
            <w:p w14:paraId="3406B544">
              <w:pPr>
                <w:pStyle w:val="12"/>
                <w:tabs>
                  <w:tab w:val="right" w:leader="dot" w:pos="8306"/>
                </w:tabs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TOC \o "1-1" \h \u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_Toc6932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bCs/>
                  <w:sz w:val="28"/>
                  <w:szCs w:val="28"/>
                  <w:lang w:val="en-US" w:eastAsia="zh-CN"/>
                </w:rPr>
                <w:t>一、实验步骤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_Toc6932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2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5F70E569">
              <w:pPr>
                <w:pStyle w:val="12"/>
                <w:tabs>
                  <w:tab w:val="right" w:leader="dot" w:pos="8306"/>
                </w:tabs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_Toc13826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二、实验主要试剂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_Toc13826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2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564001B7">
              <w:pPr>
                <w:pStyle w:val="12"/>
                <w:tabs>
                  <w:tab w:val="right" w:leader="dot" w:pos="8306"/>
                </w:tabs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_Toc18965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三、实验器材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_Toc18965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3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4C2BC18C">
              <w:pPr>
                <w:pStyle w:val="12"/>
                <w:tabs>
                  <w:tab w:val="right" w:leader="dot" w:pos="8306"/>
                </w:tabs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_Toc32314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bCs/>
                  <w:sz w:val="28"/>
                  <w:szCs w:val="28"/>
                  <w:lang w:val="en-US" w:eastAsia="zh-CN"/>
                </w:rPr>
                <w:t>四、结果判读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_Toc32314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3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05D7DDC9">
              <w:pPr>
                <w:pStyle w:val="12"/>
                <w:tabs>
                  <w:tab w:val="right" w:leader="dot" w:pos="8306"/>
                </w:tabs>
              </w:pP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HYPERLINK \l _Toc29663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bCs/>
                  <w:sz w:val="28"/>
                  <w:szCs w:val="28"/>
                  <w:lang w:val="en-US" w:eastAsia="zh-CN"/>
                </w:rPr>
                <w:t>五、注意事项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ab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begin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instrText xml:space="preserve"> PAGEREF _Toc29663 \h </w:instrTex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separate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t>4</w:t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  <w:r>
                <w:rPr>
                  <w:rFonts w:hint="eastAsia" w:ascii="楷体" w:hAnsi="楷体" w:eastAsia="楷体" w:cs="楷体"/>
                  <w:sz w:val="28"/>
                  <w:szCs w:val="28"/>
                </w:rPr>
                <w:fldChar w:fldCharType="end"/>
              </w:r>
            </w:p>
            <w:p w14:paraId="6DA47519">
              <w:p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pPr>
              <w:r>
                <w:rPr>
                  <w:rFonts w:hint="eastAsia" w:ascii="楷体" w:hAnsi="楷体" w:eastAsia="楷体" w:cs="楷体"/>
                  <w:szCs w:val="28"/>
                </w:rPr>
                <w:fldChar w:fldCharType="end"/>
              </w:r>
            </w:p>
          </w:sdtContent>
        </w:sdt>
        <w:p w14:paraId="3CA7A8C8">
          <w:pPr>
            <w:bidi w:val="0"/>
            <w:rPr>
              <w:rFonts w:hint="eastAsia" w:ascii="Times New Roman" w:hAnsi="Times New Roman" w:eastAsia="宋体" w:cs="Times New Roman"/>
              <w:kern w:val="2"/>
              <w:sz w:val="21"/>
              <w:szCs w:val="24"/>
              <w:lang w:val="en-US" w:eastAsia="zh-CN" w:bidi="ar-SA"/>
            </w:rPr>
          </w:pPr>
        </w:p>
        <w:p w14:paraId="1DFF60AE">
          <w:pPr>
            <w:bidi w:val="0"/>
            <w:rPr>
              <w:rFonts w:hint="eastAsia"/>
              <w:lang w:val="en-US" w:eastAsia="zh-CN"/>
            </w:rPr>
          </w:pPr>
        </w:p>
        <w:p w14:paraId="71384110">
          <w:pPr>
            <w:bidi w:val="0"/>
            <w:rPr>
              <w:rFonts w:hint="eastAsia"/>
              <w:lang w:val="en-US" w:eastAsia="zh-CN"/>
            </w:rPr>
          </w:pPr>
        </w:p>
        <w:p w14:paraId="78215913">
          <w:pPr>
            <w:bidi w:val="0"/>
            <w:rPr>
              <w:rFonts w:hint="eastAsia"/>
              <w:lang w:val="en-US" w:eastAsia="zh-CN"/>
            </w:rPr>
          </w:pPr>
        </w:p>
        <w:p w14:paraId="1922A2D2">
          <w:pPr>
            <w:bidi w:val="0"/>
            <w:rPr>
              <w:rFonts w:hint="eastAsia"/>
              <w:lang w:val="en-US" w:eastAsia="zh-CN"/>
            </w:rPr>
          </w:pPr>
        </w:p>
        <w:p w14:paraId="698FF593">
          <w:pPr>
            <w:bidi w:val="0"/>
            <w:rPr>
              <w:rFonts w:hint="eastAsia"/>
              <w:lang w:val="en-US" w:eastAsia="zh-CN"/>
            </w:rPr>
          </w:pPr>
        </w:p>
        <w:p w14:paraId="1040A0D0">
          <w:pPr>
            <w:bidi w:val="0"/>
            <w:rPr>
              <w:rFonts w:hint="eastAsia"/>
              <w:lang w:val="en-US" w:eastAsia="zh-CN"/>
            </w:rPr>
          </w:pPr>
        </w:p>
        <w:p w14:paraId="6DDDE6F7">
          <w:pPr>
            <w:bidi w:val="0"/>
            <w:rPr>
              <w:rFonts w:hint="eastAsia"/>
              <w:lang w:val="en-US" w:eastAsia="zh-CN"/>
            </w:rPr>
          </w:pPr>
        </w:p>
        <w:p w14:paraId="5E1861BA">
          <w:pPr>
            <w:tabs>
              <w:tab w:val="left" w:pos="4806"/>
            </w:tabs>
            <w:bidi w:val="0"/>
            <w:jc w:val="left"/>
            <w:rPr>
              <w:rFonts w:hint="eastAsia"/>
              <w:lang w:val="en-US" w:eastAsia="zh-CN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/>
              <w:lang w:val="en-US" w:eastAsia="zh-CN"/>
            </w:rPr>
            <w:tab/>
          </w:r>
        </w:p>
        <w:p w14:paraId="0F4E07B0">
          <w:pPr>
            <w:numPr>
              <w:ilvl w:val="0"/>
              <w:numId w:val="1"/>
            </w:numPr>
            <w:jc w:val="left"/>
            <w:outlineLvl w:val="0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bookmarkStart w:id="0" w:name="_Toc6932"/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t>实验步骤</w:t>
          </w:r>
          <w:bookmarkEnd w:id="0"/>
        </w:p>
        <w:p w14:paraId="1C1D14D8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将冰冻切片室温复温 10 min，画疏水圈。</w:t>
          </w:r>
        </w:p>
        <w:p w14:paraId="2C005414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向组织上滴加适量β-半乳糖苷酶染色固定液，以完全覆盖住组织为宜，室温固定 20 min。</w:t>
          </w:r>
        </w:p>
        <w:p w14:paraId="7B47470A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组织切片经 PBS 浸泡洗涤 3 次，每次 5 min。</w:t>
          </w:r>
        </w:p>
        <w:p w14:paraId="67710564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将切片置于避光湿盒中，向组织上滴加适量β-半乳糖苷酶染色工作液，需完全覆盖住组织。湿盒放入37℃孵育，每隔 2 h 显微镜下观察显色情况，如果未见显色，则继续孵育，直到组织上衰老细胞显色。如果样本需过夜孵育，则需滴加足量的β-半乳糖苷酶染色工作液，防止染液蒸发干片。</w:t>
          </w:r>
        </w:p>
        <w:p w14:paraId="3C7A5B16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待组织显色后，去除染色液，切片入 PBS 浸洗 2 次，纯水浸洗 2 次。</w:t>
          </w:r>
        </w:p>
        <w:p w14:paraId="3EA54BC3">
          <w:pPr>
            <w:numPr>
              <w:ilvl w:val="0"/>
              <w:numId w:val="2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（可选）滴加核固红染液染色 3 min，水洗 3 次。</w:t>
          </w:r>
        </w:p>
        <w:p w14:paraId="68D67F12">
          <w:pPr>
            <w:numPr>
              <w:ilvl w:val="0"/>
              <w:numId w:val="0"/>
            </w:numPr>
            <w:ind w:leftChars="0"/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7.无水乙醇脱水2次，每次3min。</w:t>
          </w:r>
        </w:p>
        <w:p w14:paraId="37698A47">
          <w:pPr>
            <w:numPr>
              <w:ilvl w:val="0"/>
              <w:numId w:val="0"/>
            </w:numPr>
            <w:ind w:leftChars="0"/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8.二甲苯透明3次，每次2min。</w:t>
          </w:r>
        </w:p>
        <w:p w14:paraId="6346A91C">
          <w:pPr>
            <w:numPr>
              <w:ilvl w:val="0"/>
              <w:numId w:val="0"/>
            </w:numPr>
            <w:ind w:leftChars="0"/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9.中性树胶封片，显微镜观察结果。</w:t>
          </w:r>
        </w:p>
        <w:p w14:paraId="45899AE4">
          <w:pPr>
            <w:spacing w:before="312" w:beforeLines="100" w:after="312" w:afterLines="100" w:line="380" w:lineRule="exact"/>
            <w:outlineLvl w:val="0"/>
            <w:rPr>
              <w:rFonts w:hint="eastAsia" w:ascii="楷体" w:hAnsi="楷体" w:eastAsia="楷体" w:cs="楷体"/>
              <w:b/>
              <w:sz w:val="28"/>
              <w:szCs w:val="28"/>
            </w:rPr>
          </w:pPr>
          <w:bookmarkStart w:id="1" w:name="_Toc13826"/>
          <w:r>
            <w:rPr>
              <w:rFonts w:hint="eastAsia" w:ascii="楷体" w:hAnsi="楷体" w:eastAsia="楷体" w:cs="楷体"/>
              <w:b/>
              <w:sz w:val="28"/>
              <w:szCs w:val="28"/>
            </w:rPr>
            <w:t>二、实验主要试剂</w:t>
          </w:r>
          <w:bookmarkEnd w:id="1"/>
        </w:p>
        <w:tbl>
          <w:tblPr>
            <w:tblStyle w:val="8"/>
            <w:tblW w:w="8101" w:type="dxa"/>
            <w:tblInd w:w="189" w:type="dxa"/>
            <w:tbl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2677"/>
            <w:gridCol w:w="2877"/>
            <w:gridCol w:w="2547"/>
          </w:tblGrid>
          <w:tr w14:paraId="2B4D8D7D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05" w:hRule="atLeast"/>
            </w:trPr>
            <w:tc>
              <w:tcPr>
                <w:tcW w:w="2677" w:type="dxa"/>
                <w:tcBorders>
                  <w:top w:val="single" w:color="auto" w:sz="12" w:space="0"/>
                  <w:bottom w:val="single" w:color="auto" w:sz="12" w:space="0"/>
                </w:tcBorders>
                <w:noWrap w:val="0"/>
                <w:vAlign w:val="top"/>
              </w:tcPr>
              <w:p w14:paraId="6801E57D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  <w:t>试剂</w:t>
                </w:r>
              </w:p>
            </w:tc>
            <w:tc>
              <w:tcPr>
                <w:tcW w:w="2877" w:type="dxa"/>
                <w:tcBorders>
                  <w:top w:val="single" w:color="auto" w:sz="12" w:space="0"/>
                  <w:bottom w:val="single" w:color="auto" w:sz="12" w:space="0"/>
                </w:tcBorders>
                <w:noWrap w:val="0"/>
                <w:vAlign w:val="top"/>
              </w:tcPr>
              <w:p w14:paraId="5F32C2CA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  <w:t>厂家</w:t>
                </w:r>
              </w:p>
            </w:tc>
            <w:tc>
              <w:tcPr>
                <w:tcW w:w="2547" w:type="dxa"/>
                <w:tcBorders>
                  <w:top w:val="single" w:color="auto" w:sz="12" w:space="0"/>
                  <w:bottom w:val="single" w:color="auto" w:sz="12" w:space="0"/>
                </w:tcBorders>
                <w:noWrap w:val="0"/>
                <w:vAlign w:val="top"/>
              </w:tcPr>
              <w:p w14:paraId="747C1CAB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  <w:t>货号</w:t>
                </w:r>
              </w:p>
            </w:tc>
          </w:tr>
          <w:tr w14:paraId="075265D7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30" w:hRule="atLeast"/>
            </w:trPr>
            <w:tc>
              <w:tcPr>
                <w:tcW w:w="2677" w:type="dxa"/>
                <w:noWrap w:val="0"/>
                <w:vAlign w:val="top"/>
              </w:tcPr>
              <w:p w14:paraId="7D9294B5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  <w:t>二甲苯</w:t>
                </w:r>
              </w:p>
            </w:tc>
            <w:tc>
              <w:tcPr>
                <w:tcW w:w="2877" w:type="dxa"/>
                <w:noWrap w:val="0"/>
                <w:vAlign w:val="top"/>
              </w:tcPr>
              <w:p w14:paraId="16C008B5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  <w:t>天津市凯通化学</w:t>
                </w:r>
              </w:p>
            </w:tc>
            <w:tc>
              <w:tcPr>
                <w:tcW w:w="2547" w:type="dxa"/>
                <w:noWrap w:val="0"/>
                <w:vAlign w:val="top"/>
              </w:tcPr>
              <w:p w14:paraId="710DA716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无</w:t>
                </w:r>
              </w:p>
            </w:tc>
          </w:tr>
          <w:tr w14:paraId="3286EB82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30" w:hRule="atLeast"/>
            </w:trPr>
            <w:tc>
              <w:tcPr>
                <w:tcW w:w="2677" w:type="dxa"/>
                <w:noWrap w:val="0"/>
                <w:vAlign w:val="top"/>
              </w:tcPr>
              <w:p w14:paraId="32BBAB74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  <w:t>无水乙醇</w:t>
                </w:r>
              </w:p>
            </w:tc>
            <w:tc>
              <w:tcPr>
                <w:tcW w:w="2877" w:type="dxa"/>
                <w:noWrap w:val="0"/>
                <w:vAlign w:val="top"/>
              </w:tcPr>
              <w:p w14:paraId="5E06E0A6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  <w:t>上海广诺化学</w:t>
                </w:r>
              </w:p>
            </w:tc>
            <w:tc>
              <w:tcPr>
                <w:tcW w:w="2547" w:type="dxa"/>
                <w:noWrap w:val="0"/>
                <w:vAlign w:val="top"/>
              </w:tcPr>
              <w:p w14:paraId="24473A72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无</w:t>
                </w:r>
              </w:p>
            </w:tc>
          </w:tr>
          <w:tr w14:paraId="1472E6E7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30" w:hRule="atLeast"/>
            </w:trPr>
            <w:tc>
              <w:tcPr>
                <w:tcW w:w="2677" w:type="dxa"/>
                <w:noWrap w:val="0"/>
                <w:vAlign w:val="top"/>
              </w:tcPr>
              <w:p w14:paraId="65BA97D8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eastAsia="楷体"/>
                    <w:sz w:val="28"/>
                    <w:szCs w:val="28"/>
                  </w:rPr>
                  <w:t>β-半乳糖苷酶</w:t>
                </w:r>
                <w:r>
                  <w:rPr>
                    <w:rFonts w:hint="eastAsia" w:eastAsia="楷体"/>
                    <w:sz w:val="28"/>
                    <w:szCs w:val="28"/>
                    <w:lang w:val="en-US" w:eastAsia="zh-CN"/>
                  </w:rPr>
                  <w:t>染色</w:t>
                </w: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试剂盒</w:t>
                </w:r>
              </w:p>
            </w:tc>
            <w:tc>
              <w:tcPr>
                <w:tcW w:w="2877" w:type="dxa"/>
                <w:noWrap w:val="0"/>
                <w:vAlign w:val="top"/>
              </w:tcPr>
              <w:p w14:paraId="0C995084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  <w:t>servicebio</w:t>
                </w:r>
              </w:p>
            </w:tc>
            <w:tc>
              <w:tcPr>
                <w:tcW w:w="2547" w:type="dxa"/>
                <w:noWrap w:val="0"/>
                <w:vAlign w:val="top"/>
              </w:tcPr>
              <w:p w14:paraId="05A95533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eastAsia="zh-CN"/>
                  </w:rPr>
                  <w:t>G1073</w:t>
                </w:r>
              </w:p>
            </w:tc>
          </w:tr>
          <w:tr w14:paraId="45EEF5D2">
            <w:tblPrEx>
              <w:tblBorders>
                <w:top w:val="single" w:color="auto" w:sz="12" w:space="0"/>
                <w:left w:val="none" w:color="auto" w:sz="0" w:space="0"/>
                <w:bottom w:val="single" w:color="auto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5" w:hRule="atLeast"/>
            </w:trPr>
            <w:tc>
              <w:tcPr>
                <w:tcW w:w="2677" w:type="dxa"/>
                <w:noWrap w:val="0"/>
                <w:vAlign w:val="top"/>
              </w:tcPr>
              <w:p w14:paraId="21BBBA78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eastAsia="zh-CN"/>
                  </w:rPr>
                  <w:t>中性树胶</w:t>
                </w:r>
              </w:p>
            </w:tc>
            <w:tc>
              <w:tcPr>
                <w:tcW w:w="2877" w:type="dxa"/>
                <w:noWrap w:val="0"/>
                <w:vAlign w:val="top"/>
              </w:tcPr>
              <w:p w14:paraId="49A55144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无锡江原</w:t>
                </w:r>
              </w:p>
            </w:tc>
            <w:tc>
              <w:tcPr>
                <w:tcW w:w="2547" w:type="dxa"/>
                <w:noWrap w:val="0"/>
                <w:vAlign w:val="top"/>
              </w:tcPr>
              <w:p w14:paraId="269F98B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ZLI-9516</w:t>
                </w:r>
              </w:p>
            </w:tc>
          </w:tr>
        </w:tbl>
        <w:p w14:paraId="61FCF40B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</w:p>
        <w:p w14:paraId="4D762514">
          <w:pPr>
            <w:spacing w:after="156" w:afterLines="50" w:line="380" w:lineRule="exact"/>
            <w:outlineLvl w:val="0"/>
            <w:rPr>
              <w:rFonts w:hint="eastAsia" w:ascii="楷体" w:hAnsi="楷体" w:eastAsia="楷体" w:cs="楷体"/>
              <w:b/>
              <w:sz w:val="28"/>
              <w:szCs w:val="28"/>
            </w:rPr>
          </w:pPr>
          <w:bookmarkStart w:id="2" w:name="_Toc18965"/>
          <w:r>
            <w:rPr>
              <w:rFonts w:hint="eastAsia" w:ascii="楷体" w:hAnsi="楷体" w:eastAsia="楷体" w:cs="楷体"/>
              <w:b/>
              <w:sz w:val="28"/>
              <w:szCs w:val="28"/>
            </w:rPr>
            <w:t>三、实验器材</w:t>
          </w:r>
          <w:bookmarkEnd w:id="2"/>
        </w:p>
        <w:tbl>
          <w:tblPr>
            <w:tblStyle w:val="8"/>
            <w:tblpPr w:leftFromText="180" w:rightFromText="180" w:vertAnchor="text" w:horzAnchor="page" w:tblpX="1960" w:tblpY="205"/>
            <w:tblOverlap w:val="never"/>
            <w:tblW w:w="8183" w:type="dxa"/>
            <w:tblInd w:w="0" w:type="dxa"/>
            <w:tblBorders>
              <w:top w:val="single" w:color="000000" w:sz="12" w:space="0"/>
              <w:left w:val="none" w:color="auto" w:sz="0" w:space="0"/>
              <w:bottom w:val="single" w:color="000000" w:sz="12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2985"/>
            <w:gridCol w:w="3070"/>
            <w:gridCol w:w="2128"/>
          </w:tblGrid>
          <w:tr w14:paraId="772A60D8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68" w:hRule="atLeast"/>
            </w:trPr>
            <w:tc>
              <w:tcPr>
                <w:tcW w:w="2985" w:type="dxa"/>
                <w:tcBorders>
                  <w:top w:val="single" w:color="000000" w:sz="12" w:space="0"/>
                  <w:bottom w:val="single" w:color="000000" w:sz="12" w:space="0"/>
                </w:tcBorders>
                <w:noWrap w:val="0"/>
                <w:vAlign w:val="top"/>
              </w:tcPr>
              <w:p w14:paraId="13134BD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sz w:val="28"/>
                    <w:szCs w:val="28"/>
                  </w:rPr>
                  <w:t>名称</w:t>
                </w:r>
              </w:p>
            </w:tc>
            <w:tc>
              <w:tcPr>
                <w:tcW w:w="3070" w:type="dxa"/>
                <w:tcBorders>
                  <w:top w:val="single" w:color="000000" w:sz="12" w:space="0"/>
                  <w:bottom w:val="single" w:color="000000" w:sz="12" w:space="0"/>
                </w:tcBorders>
                <w:noWrap w:val="0"/>
                <w:vAlign w:val="top"/>
              </w:tcPr>
              <w:p w14:paraId="4EEA1C4F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</w:rPr>
                  <w:t>厂家</w:t>
                </w:r>
              </w:p>
            </w:tc>
            <w:tc>
              <w:tcPr>
                <w:tcW w:w="2128" w:type="dxa"/>
                <w:tcBorders>
                  <w:top w:val="single" w:color="000000" w:sz="12" w:space="0"/>
                  <w:bottom w:val="single" w:color="000000" w:sz="12" w:space="0"/>
                </w:tcBorders>
                <w:noWrap w:val="0"/>
                <w:vAlign w:val="top"/>
              </w:tcPr>
              <w:p w14:paraId="34916D36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</w:rPr>
                  <w:t>型号</w:t>
                </w:r>
              </w:p>
            </w:tc>
          </w:tr>
          <w:tr w14:paraId="20D5F7CC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9" w:hRule="atLeast"/>
            </w:trPr>
            <w:tc>
              <w:tcPr>
                <w:tcW w:w="2985" w:type="dxa"/>
                <w:noWrap w:val="0"/>
                <w:vAlign w:val="top"/>
              </w:tcPr>
              <w:p w14:paraId="242CF47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  <w:lang w:val="en-US" w:eastAsia="zh-CN"/>
                  </w:rPr>
                  <w:t>冷冻</w:t>
                </w: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  <w:t>切片机</w:t>
                </w:r>
              </w:p>
            </w:tc>
            <w:tc>
              <w:tcPr>
                <w:tcW w:w="3070" w:type="dxa"/>
                <w:noWrap w:val="0"/>
                <w:vAlign w:val="top"/>
              </w:tcPr>
              <w:p w14:paraId="5012CF87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color w:val="000000"/>
                    <w:kern w:val="0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  <w:lang w:val="en-US" w:eastAsia="zh-CN"/>
                  </w:rPr>
                  <w:t>赛默飞世尔</w:t>
                </w:r>
              </w:p>
            </w:tc>
            <w:tc>
              <w:tcPr>
                <w:tcW w:w="2128" w:type="dxa"/>
                <w:noWrap w:val="0"/>
                <w:vAlign w:val="top"/>
              </w:tcPr>
              <w:p w14:paraId="60EA4942">
                <w:pPr>
                  <w:spacing w:line="380" w:lineRule="exact"/>
                  <w:jc w:val="center"/>
                  <w:rPr>
                    <w:rFonts w:hint="default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HM525 NX</w:t>
                </w:r>
              </w:p>
            </w:tc>
          </w:tr>
          <w:tr w14:paraId="6E8E28B2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9" w:hRule="atLeast"/>
            </w:trPr>
            <w:tc>
              <w:tcPr>
                <w:tcW w:w="2985" w:type="dxa"/>
                <w:noWrap w:val="0"/>
                <w:vAlign w:val="top"/>
              </w:tcPr>
              <w:p w14:paraId="54987272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  <w:t>切片刀</w:t>
                </w:r>
              </w:p>
            </w:tc>
            <w:tc>
              <w:tcPr>
                <w:tcW w:w="3070" w:type="dxa"/>
                <w:noWrap w:val="0"/>
                <w:vAlign w:val="top"/>
              </w:tcPr>
              <w:p w14:paraId="71EB040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/>
                    <w:bCs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  <w:t>Leica</w:t>
                </w:r>
              </w:p>
            </w:tc>
            <w:tc>
              <w:tcPr>
                <w:tcW w:w="2128" w:type="dxa"/>
                <w:noWrap w:val="0"/>
                <w:vAlign w:val="top"/>
              </w:tcPr>
              <w:p w14:paraId="26C3BA97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  <w:t>Leica 819</w:t>
                </w:r>
              </w:p>
            </w:tc>
          </w:tr>
          <w:tr w14:paraId="49BA0385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9" w:hRule="atLeast"/>
            </w:trPr>
            <w:tc>
              <w:tcPr>
                <w:tcW w:w="2985" w:type="dxa"/>
                <w:noWrap w:val="0"/>
                <w:vAlign w:val="top"/>
              </w:tcPr>
              <w:p w14:paraId="0B2CC256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 w:val="0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  <w:t>隔水式恒温培养箱</w:t>
                </w:r>
              </w:p>
            </w:tc>
            <w:tc>
              <w:tcPr>
                <w:tcW w:w="3070" w:type="dxa"/>
                <w:noWrap w:val="0"/>
                <w:vAlign w:val="top"/>
              </w:tcPr>
              <w:p w14:paraId="7F0EC961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color w:val="000000"/>
                    <w:kern w:val="0"/>
                    <w:sz w:val="28"/>
                    <w:szCs w:val="28"/>
                  </w:rPr>
                  <w:t>上海三发</w:t>
                </w:r>
              </w:p>
            </w:tc>
            <w:tc>
              <w:tcPr>
                <w:tcW w:w="2128" w:type="dxa"/>
                <w:noWrap w:val="0"/>
                <w:vAlign w:val="top"/>
              </w:tcPr>
              <w:p w14:paraId="1C28CB11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  <w:t>GNP-9080</w:t>
                </w:r>
              </w:p>
            </w:tc>
          </w:tr>
          <w:tr w14:paraId="7D1EA9D0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87" w:hRule="atLeast"/>
            </w:trPr>
            <w:tc>
              <w:tcPr>
                <w:tcW w:w="2985" w:type="dxa"/>
                <w:noWrap w:val="0"/>
                <w:vAlign w:val="top"/>
              </w:tcPr>
              <w:p w14:paraId="0804D329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  <w:lang w:val="en-US" w:eastAsia="zh-CN"/>
                  </w:rPr>
                  <w:t>粘附载玻片</w:t>
                </w:r>
              </w:p>
            </w:tc>
            <w:tc>
              <w:tcPr>
                <w:tcW w:w="3070" w:type="dxa"/>
                <w:noWrap w:val="0"/>
                <w:vAlign w:val="top"/>
              </w:tcPr>
              <w:p w14:paraId="25BF2DF9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  <w:t>ebiogo</w:t>
                </w:r>
              </w:p>
            </w:tc>
            <w:tc>
              <w:tcPr>
                <w:tcW w:w="2128" w:type="dxa"/>
                <w:noWrap w:val="0"/>
                <w:vAlign w:val="top"/>
              </w:tcPr>
              <w:p w14:paraId="64CA0708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  <w:t>B004</w:t>
                </w:r>
              </w:p>
            </w:tc>
          </w:tr>
          <w:tr w14:paraId="42155FA9">
            <w:tblPrEx>
              <w:tblBorders>
                <w:top w:val="single" w:color="000000" w:sz="12" w:space="0"/>
                <w:left w:val="none" w:color="auto" w:sz="0" w:space="0"/>
                <w:bottom w:val="single" w:color="000000" w:sz="1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419" w:hRule="atLeast"/>
            </w:trPr>
            <w:tc>
              <w:tcPr>
                <w:tcW w:w="2985" w:type="dxa"/>
                <w:noWrap w:val="0"/>
                <w:vAlign w:val="top"/>
              </w:tcPr>
              <w:p w14:paraId="05374960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sz w:val="28"/>
                    <w:szCs w:val="28"/>
                  </w:rPr>
                  <w:t>显微镜</w:t>
                </w:r>
              </w:p>
            </w:tc>
            <w:tc>
              <w:tcPr>
                <w:tcW w:w="3070" w:type="dxa"/>
                <w:noWrap w:val="0"/>
                <w:vAlign w:val="top"/>
              </w:tcPr>
              <w:p w14:paraId="6735F149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  <w:t>OLYMPUS</w:t>
                </w:r>
              </w:p>
            </w:tc>
            <w:tc>
              <w:tcPr>
                <w:tcW w:w="2128" w:type="dxa"/>
                <w:noWrap w:val="0"/>
                <w:vAlign w:val="top"/>
              </w:tcPr>
              <w:p w14:paraId="39AF5D2C">
                <w:pPr>
                  <w:spacing w:line="380" w:lineRule="exact"/>
                  <w:jc w:val="center"/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</w:pPr>
                <w:r>
                  <w:rPr>
                    <w:rFonts w:hint="eastAsia" w:ascii="楷体" w:hAnsi="楷体" w:eastAsia="楷体" w:cs="楷体"/>
                    <w:bCs/>
                    <w:sz w:val="28"/>
                    <w:szCs w:val="28"/>
                  </w:rPr>
                  <w:t>CX41</w:t>
                </w:r>
              </w:p>
            </w:tc>
          </w:tr>
        </w:tbl>
        <w:p w14:paraId="6C2600C1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</w:p>
        <w:p w14:paraId="1ACDFEDE">
          <w:pPr>
            <w:numPr>
              <w:ilvl w:val="0"/>
              <w:numId w:val="0"/>
            </w:numPr>
            <w:jc w:val="left"/>
            <w:outlineLvl w:val="0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bookmarkStart w:id="3" w:name="_Toc32314"/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t>四、结果判读</w:t>
          </w:r>
          <w:bookmarkEnd w:id="3"/>
        </w:p>
        <w:p w14:paraId="0914B346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衰老细胞胞质内呈散在分布的蓝色，细胞核呈红色</w:t>
          </w:r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t>。</w:t>
          </w:r>
        </w:p>
        <w:p w14:paraId="0AD7803C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drawing>
              <wp:inline distT="0" distB="0" distL="114300" distR="114300">
                <wp:extent cx="5266690" cy="2834640"/>
                <wp:effectExtent l="0" t="0" r="10160" b="3810"/>
                <wp:docPr id="2" name="图片 2" descr="C:/Users/Liu/Desktop/3丁韦娓_203.jpg3丁韦娓_2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图片 2" descr="C:/Users/Liu/Desktop/3丁韦娓_203.jpg3丁韦娓_203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rcRect l="717" r="7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66690" cy="2834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EFE90B6">
          <w:pPr>
            <w:numPr>
              <w:ilvl w:val="0"/>
              <w:numId w:val="0"/>
            </w:numPr>
            <w:jc w:val="center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示例图（子宫内膜组织）</w:t>
          </w:r>
        </w:p>
        <w:p w14:paraId="14F160B6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</w:p>
        <w:p w14:paraId="2A85A68F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</w:p>
        <w:p w14:paraId="6D369BEA">
          <w:pPr>
            <w:numPr>
              <w:ilvl w:val="0"/>
              <w:numId w:val="0"/>
            </w:numPr>
            <w:jc w:val="left"/>
            <w:outlineLvl w:val="0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bookmarkStart w:id="4" w:name="_Toc29663"/>
        </w:p>
        <w:p w14:paraId="5BDCF3B7">
          <w:pPr>
            <w:numPr>
              <w:ilvl w:val="0"/>
              <w:numId w:val="0"/>
            </w:numPr>
            <w:jc w:val="left"/>
            <w:outlineLvl w:val="0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</w:p>
        <w:p w14:paraId="4CAA4427">
          <w:pPr>
            <w:numPr>
              <w:ilvl w:val="0"/>
              <w:numId w:val="0"/>
            </w:numPr>
            <w:jc w:val="left"/>
            <w:outlineLvl w:val="0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</w:p>
        <w:p w14:paraId="69E0BEAB">
          <w:pPr>
            <w:numPr>
              <w:ilvl w:val="0"/>
              <w:numId w:val="0"/>
            </w:numPr>
            <w:jc w:val="left"/>
            <w:outlineLvl w:val="0"/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/>
              <w:bCs/>
              <w:sz w:val="28"/>
              <w:szCs w:val="28"/>
              <w:lang w:val="en-US" w:eastAsia="zh-CN"/>
            </w:rPr>
            <w:t>五、注意事项</w:t>
          </w:r>
          <w:bookmarkEnd w:id="4"/>
        </w:p>
        <w:p w14:paraId="028FD8D8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1.X-Gal 溶液需室温完全解冻混匀后再使用。</w:t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2.β-半乳糖苷酶染色液 A 和 B 需提前恢复至室温后再使用，配制好的染色工作液需充分混匀无沉淀方可使用。</w:t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3.衰老细胞β-半乳糖苷酶染色反应依赖于特定的 pH 条件，不能在 CO2培养箱中进行孵育显色，否则会影响染色工作液的 pH，导致染色失败。</w:t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4.配制染色工作液时请选择聚丙烯（PP）或玻璃材质的耗材，不能用聚苯乙烯（PS）材质的耗材。</w:t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5.在显色 2 h-过夜期间需多次观察显色情况，时间过短可能导致阴性结果；时间太长则可能导致假阳性。显色时间与样本本身所含的β-半乳糖苷酶量多少有密切关系。</w:t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6.在配制染色工作液前，需检查染色液 A 的 pH 值，如果不是 6.0（可能因保存条件导致 pH 发生改变），</w:t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需用 HCl 或 NaOH 调节 pH 至 6.0 再使用。</w:t>
          </w:r>
        </w:p>
        <w:p w14:paraId="5121FC31">
          <w:pPr>
            <w:numPr>
              <w:ilvl w:val="0"/>
              <w:numId w:val="0"/>
            </w:numPr>
            <w:jc w:val="left"/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pP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7.组织切片的β-半乳糖苷酶染色，对于样本的前期准备要求较高，样本需-80℃保存，并尽快完成检测。</w:t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t>因为β-半乳糖苷酶非常容易失活，样本保存不当或时间过久，都可能导致酶失活，则染色时没有阳性。</w:t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  <w:r>
            <w:rPr>
              <w:rFonts w:hint="eastAsia" w:ascii="楷体" w:hAnsi="楷体" w:eastAsia="楷体" w:cs="楷体"/>
              <w:b w:val="0"/>
              <w:bCs w:val="0"/>
              <w:sz w:val="28"/>
              <w:szCs w:val="28"/>
              <w:lang w:val="en-US" w:eastAsia="zh-CN"/>
            </w:rPr>
            <w:br w:type="textWrapping"/>
          </w:r>
        </w:p>
      </w:sdtContent>
    </w:sdt>
    <w:p w14:paraId="613F555B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7A5B4150">
      <w:pPr>
        <w:tabs>
          <w:tab w:val="left" w:pos="618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F3909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23BBA54B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83252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DEF2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4A405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C33E643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69E0B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13F98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zgzNjEyYzIxOTMyZjAyNGU5NTBlMjU4ZTEwMGQ5ODc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1E22973"/>
    <w:rsid w:val="024A2DCC"/>
    <w:rsid w:val="06A10DB8"/>
    <w:rsid w:val="0F4E57CC"/>
    <w:rsid w:val="10811F6F"/>
    <w:rsid w:val="10C83D1A"/>
    <w:rsid w:val="11C961EA"/>
    <w:rsid w:val="16223ECC"/>
    <w:rsid w:val="194F4FD8"/>
    <w:rsid w:val="214014EE"/>
    <w:rsid w:val="2472601F"/>
    <w:rsid w:val="248B7277"/>
    <w:rsid w:val="262D044F"/>
    <w:rsid w:val="27B2711B"/>
    <w:rsid w:val="2861497A"/>
    <w:rsid w:val="296E3259"/>
    <w:rsid w:val="31AF2660"/>
    <w:rsid w:val="33C52764"/>
    <w:rsid w:val="344722AD"/>
    <w:rsid w:val="34AC10D9"/>
    <w:rsid w:val="35E02989"/>
    <w:rsid w:val="38A26A7B"/>
    <w:rsid w:val="3A033549"/>
    <w:rsid w:val="3BF515B8"/>
    <w:rsid w:val="40DC2A46"/>
    <w:rsid w:val="46470C62"/>
    <w:rsid w:val="4A3B0ADD"/>
    <w:rsid w:val="4F0C2A48"/>
    <w:rsid w:val="4FA709C3"/>
    <w:rsid w:val="53D31D87"/>
    <w:rsid w:val="57F6257F"/>
    <w:rsid w:val="59271234"/>
    <w:rsid w:val="627C79D3"/>
    <w:rsid w:val="6283796E"/>
    <w:rsid w:val="66DD6A4E"/>
    <w:rsid w:val="68EC453D"/>
    <w:rsid w:val="692C5D69"/>
    <w:rsid w:val="6A026ACA"/>
    <w:rsid w:val="6A505A87"/>
    <w:rsid w:val="6D8E6F2E"/>
    <w:rsid w:val="6E7F4B8D"/>
    <w:rsid w:val="6EAD34A8"/>
    <w:rsid w:val="71407606"/>
    <w:rsid w:val="75D0200F"/>
    <w:rsid w:val="7772528F"/>
    <w:rsid w:val="78B0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955</Words>
  <Characters>1090</Characters>
  <Lines>27</Lines>
  <Paragraphs>7</Paragraphs>
  <TotalTime>7</TotalTime>
  <ScaleCrop>false</ScaleCrop>
  <LinksUpToDate>false</LinksUpToDate>
  <CharactersWithSpaces>1160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2026-01-19T00:38:32Z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