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CD205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765482A8">
      <w:pPr>
        <w:jc w:val="center"/>
        <w:rPr>
          <w:rFonts w:eastAsia="楷体"/>
          <w:b/>
          <w:sz w:val="52"/>
          <w:szCs w:val="52"/>
        </w:rPr>
      </w:pPr>
    </w:p>
    <w:p w14:paraId="2AF4D252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158DA64E">
      <w:pPr>
        <w:jc w:val="center"/>
        <w:rPr>
          <w:rFonts w:eastAsia="楷体"/>
          <w:sz w:val="52"/>
          <w:szCs w:val="52"/>
        </w:rPr>
      </w:pPr>
    </w:p>
    <w:p w14:paraId="1234146C">
      <w:pPr>
        <w:jc w:val="center"/>
        <w:rPr>
          <w:rFonts w:eastAsia="楷体"/>
          <w:sz w:val="28"/>
          <w:szCs w:val="28"/>
        </w:rPr>
      </w:pPr>
    </w:p>
    <w:p w14:paraId="3968C240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HE染色</w:t>
      </w:r>
    </w:p>
    <w:p w14:paraId="5C311976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7D8A08B5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63DBBF66">
      <w:pPr>
        <w:rPr>
          <w:rFonts w:eastAsia="楷体"/>
          <w:sz w:val="28"/>
          <w:szCs w:val="28"/>
        </w:rPr>
      </w:pPr>
    </w:p>
    <w:p w14:paraId="1DD6DF95">
      <w:pPr>
        <w:rPr>
          <w:rFonts w:eastAsia="楷体"/>
          <w:sz w:val="28"/>
          <w:szCs w:val="28"/>
        </w:rPr>
      </w:pPr>
    </w:p>
    <w:p w14:paraId="756335DF">
      <w:pPr>
        <w:rPr>
          <w:rFonts w:eastAsia="楷体"/>
          <w:sz w:val="28"/>
          <w:szCs w:val="28"/>
        </w:rPr>
      </w:pPr>
    </w:p>
    <w:p w14:paraId="7CD6622A">
      <w:pPr>
        <w:rPr>
          <w:rFonts w:eastAsia="楷体"/>
          <w:sz w:val="28"/>
          <w:szCs w:val="28"/>
        </w:rPr>
      </w:pPr>
    </w:p>
    <w:p w14:paraId="668162DD">
      <w:pPr>
        <w:rPr>
          <w:rFonts w:eastAsia="楷体"/>
          <w:sz w:val="28"/>
          <w:szCs w:val="28"/>
        </w:rPr>
      </w:pPr>
    </w:p>
    <w:p w14:paraId="48B43A04">
      <w:pPr>
        <w:spacing w:line="360" w:lineRule="auto"/>
        <w:rPr>
          <w:rFonts w:eastAsia="楷体"/>
          <w:sz w:val="28"/>
          <w:szCs w:val="28"/>
        </w:rPr>
      </w:pPr>
    </w:p>
    <w:p w14:paraId="1ABDA191">
      <w:pPr>
        <w:spacing w:line="360" w:lineRule="auto"/>
        <w:rPr>
          <w:rFonts w:eastAsia="楷体"/>
          <w:sz w:val="28"/>
          <w:szCs w:val="28"/>
        </w:rPr>
      </w:pPr>
    </w:p>
    <w:p w14:paraId="08C81433">
      <w:pPr>
        <w:spacing w:line="360" w:lineRule="auto"/>
        <w:rPr>
          <w:rFonts w:eastAsia="楷体"/>
          <w:sz w:val="28"/>
          <w:szCs w:val="28"/>
        </w:rPr>
      </w:pPr>
    </w:p>
    <w:p w14:paraId="5E0096D2">
      <w:pPr>
        <w:spacing w:line="360" w:lineRule="auto"/>
        <w:rPr>
          <w:rFonts w:eastAsia="楷体"/>
          <w:sz w:val="28"/>
          <w:szCs w:val="28"/>
        </w:rPr>
      </w:pPr>
    </w:p>
    <w:p w14:paraId="15B7DE97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740180A4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5-7-24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58501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p w14:paraId="066EF02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楷体" w:hAnsi="楷体" w:eastAsia="楷体" w:cs="楷体"/>
              <w:sz w:val="52"/>
              <w:szCs w:val="52"/>
            </w:rPr>
          </w:pPr>
          <w:r>
            <w:rPr>
              <w:rFonts w:hint="eastAsia" w:ascii="楷体" w:hAnsi="楷体" w:eastAsia="楷体" w:cs="楷体"/>
              <w:sz w:val="52"/>
              <w:szCs w:val="52"/>
            </w:rPr>
            <w:t>目录</w:t>
          </w:r>
        </w:p>
        <w:p w14:paraId="1118E805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TOC \o "1-1" \h \u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_Toc6932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z w:val="28"/>
              <w:szCs w:val="28"/>
              <w:lang w:val="en-US" w:eastAsia="zh-CN"/>
            </w:rPr>
            <w:t>一、实验步骤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PAGEREF _Toc6932 \h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2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61EA5182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_Toc13826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二、实验主要试剂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PAGEREF _Toc13826 \h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2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32E99FD4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_Toc18965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三、实验器材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  <w:lang w:val="en-US" w:eastAsia="zh-CN"/>
            </w:rPr>
            <w:t>3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2BE6CE9C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_Toc32314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z w:val="28"/>
              <w:szCs w:val="28"/>
              <w:lang w:val="en-US" w:eastAsia="zh-CN"/>
            </w:rPr>
            <w:t>四、结果判读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PAGEREF _Toc32314 \h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3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5B18987E">
          <w:pPr>
            <w:pStyle w:val="12"/>
            <w:tabs>
              <w:tab w:val="right" w:leader="dot" w:pos="8306"/>
            </w:tabs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_Toc29663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z w:val="28"/>
              <w:szCs w:val="28"/>
              <w:lang w:val="en-US" w:eastAsia="zh-CN"/>
            </w:rPr>
            <w:t>五、注意事项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  <w:lang w:val="en-US" w:eastAsia="zh-CN"/>
            </w:rPr>
            <w:t>4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14C20477">
          <w:p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pPr>
          <w:r>
            <w:rPr>
              <w:rFonts w:hint="eastAsia" w:ascii="楷体" w:hAnsi="楷体" w:eastAsia="楷体" w:cs="楷体"/>
              <w:szCs w:val="28"/>
            </w:rPr>
            <w:fldChar w:fldCharType="end"/>
          </w:r>
        </w:p>
      </w:sdtContent>
    </w:sdt>
    <w:p w14:paraId="1D2DBC82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50FD553C">
      <w:pPr>
        <w:bidi w:val="0"/>
        <w:rPr>
          <w:rFonts w:hint="eastAsia"/>
          <w:lang w:val="en-US" w:eastAsia="zh-CN"/>
        </w:rPr>
      </w:pPr>
    </w:p>
    <w:p w14:paraId="4C2D53A9">
      <w:pPr>
        <w:bidi w:val="0"/>
        <w:rPr>
          <w:rFonts w:hint="eastAsia"/>
          <w:lang w:val="en-US" w:eastAsia="zh-CN"/>
        </w:rPr>
      </w:pPr>
    </w:p>
    <w:p w14:paraId="30DF9B8B">
      <w:pPr>
        <w:bidi w:val="0"/>
        <w:rPr>
          <w:rFonts w:hint="eastAsia"/>
          <w:lang w:val="en-US" w:eastAsia="zh-CN"/>
        </w:rPr>
      </w:pPr>
    </w:p>
    <w:p w14:paraId="3CD5C46D">
      <w:pPr>
        <w:bidi w:val="0"/>
        <w:rPr>
          <w:rFonts w:hint="eastAsia"/>
          <w:lang w:val="en-US" w:eastAsia="zh-CN"/>
        </w:rPr>
      </w:pPr>
    </w:p>
    <w:p w14:paraId="6665BB43">
      <w:pPr>
        <w:bidi w:val="0"/>
        <w:rPr>
          <w:rFonts w:hint="eastAsia"/>
          <w:lang w:val="en-US" w:eastAsia="zh-CN"/>
        </w:rPr>
      </w:pPr>
    </w:p>
    <w:p w14:paraId="28483B16">
      <w:pPr>
        <w:bidi w:val="0"/>
        <w:rPr>
          <w:rFonts w:hint="eastAsia"/>
          <w:lang w:val="en-US" w:eastAsia="zh-CN"/>
        </w:rPr>
      </w:pPr>
    </w:p>
    <w:p w14:paraId="24B88054">
      <w:pPr>
        <w:bidi w:val="0"/>
        <w:rPr>
          <w:rFonts w:hint="eastAsia"/>
          <w:lang w:val="en-US" w:eastAsia="zh-CN"/>
        </w:rPr>
      </w:pPr>
    </w:p>
    <w:p w14:paraId="79C2841E">
      <w:pPr>
        <w:tabs>
          <w:tab w:val="left" w:pos="4806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04E2CBBE">
      <w:pPr>
        <w:numPr>
          <w:ilvl w:val="0"/>
          <w:numId w:val="1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实验步骤</w:t>
      </w:r>
    </w:p>
    <w:p w14:paraId="34339333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将冰冻切片复温干燥，PBS清洗干净。</w:t>
      </w:r>
    </w:p>
    <w:p w14:paraId="37A13F57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切片入4%多聚甲醛中室温固定20min，流水清洗干净。</w:t>
      </w:r>
    </w:p>
    <w:p w14:paraId="0002F6C0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切片入苏木素浸染2-5min，流水清洗干净。</w:t>
      </w:r>
    </w:p>
    <w:p w14:paraId="11E0E672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1%盐酸酒精分化数秒，流水清洗干净。</w:t>
      </w:r>
    </w:p>
    <w:p w14:paraId="45EB6883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饱和碳酸锂溶液蓝化数秒,流水清洗干净。</w:t>
      </w:r>
    </w:p>
    <w:p w14:paraId="13C6246E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切片入95%乙醇脱水2min,上下晃动几次。</w:t>
      </w:r>
    </w:p>
    <w:p w14:paraId="4287BCCA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切片入伊红染液（醇溶性）浸染数秒。</w:t>
      </w:r>
    </w:p>
    <w:p w14:paraId="2351E608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8.依次过2道95%乙醇，每道5-10s,时间不宜过长。</w:t>
      </w:r>
    </w:p>
    <w:p w14:paraId="7AB73928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9.依次过2道100%乙醇脱水，每道1min。</w:t>
      </w:r>
    </w:p>
    <w:p w14:paraId="5BEFD1AC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10.依次过苯酚-二甲苯、二甲苯I、II透明，每道2min。</w:t>
      </w:r>
    </w:p>
    <w:p w14:paraId="583F00D4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11.中性树胶封片，显微镜观察结果。</w:t>
      </w:r>
    </w:p>
    <w:p w14:paraId="784A669D">
      <w:pPr>
        <w:spacing w:before="312" w:beforeLines="100" w:after="312" w:afterLines="100" w:line="380" w:lineRule="exact"/>
        <w:rPr>
          <w:rFonts w:hint="eastAsia" w:ascii="楷体" w:hAnsi="楷体" w:eastAsia="楷体" w:cs="楷体"/>
          <w:b/>
          <w:sz w:val="28"/>
          <w:szCs w:val="28"/>
        </w:rPr>
      </w:pPr>
      <w:r>
        <w:rPr>
          <w:rFonts w:hint="eastAsia" w:ascii="楷体" w:hAnsi="楷体" w:eastAsia="楷体" w:cs="楷体"/>
          <w:b/>
          <w:sz w:val="28"/>
          <w:szCs w:val="28"/>
        </w:rPr>
        <w:t>二、实验主要试剂</w:t>
      </w:r>
    </w:p>
    <w:tbl>
      <w:tblPr>
        <w:tblStyle w:val="8"/>
        <w:tblW w:w="8101" w:type="dxa"/>
        <w:tblInd w:w="189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2807"/>
        <w:gridCol w:w="2931"/>
      </w:tblGrid>
      <w:tr w14:paraId="26556E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6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047BEFFF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试剂</w:t>
            </w:r>
          </w:p>
        </w:tc>
        <w:tc>
          <w:tcPr>
            <w:tcW w:w="2807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57FB5EA9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厂家</w:t>
            </w:r>
          </w:p>
        </w:tc>
        <w:tc>
          <w:tcPr>
            <w:tcW w:w="2931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7E6C3D49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货号</w:t>
            </w:r>
          </w:p>
        </w:tc>
      </w:tr>
      <w:tr w14:paraId="5FFEDF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3FE6AEE1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二甲苯</w:t>
            </w:r>
          </w:p>
        </w:tc>
        <w:tc>
          <w:tcPr>
            <w:tcW w:w="2807" w:type="dxa"/>
            <w:noWrap w:val="0"/>
            <w:vAlign w:val="top"/>
          </w:tcPr>
          <w:p w14:paraId="729FDBCA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eastAsia="zh-CN"/>
              </w:rPr>
              <w:t>天津市凯通化学</w:t>
            </w:r>
          </w:p>
        </w:tc>
        <w:tc>
          <w:tcPr>
            <w:tcW w:w="2931" w:type="dxa"/>
            <w:noWrap w:val="0"/>
            <w:vAlign w:val="top"/>
          </w:tcPr>
          <w:p w14:paraId="429B5563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无</w:t>
            </w:r>
          </w:p>
        </w:tc>
      </w:tr>
      <w:tr w14:paraId="3321D1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6D57E355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无水乙醇</w:t>
            </w:r>
          </w:p>
        </w:tc>
        <w:tc>
          <w:tcPr>
            <w:tcW w:w="2807" w:type="dxa"/>
            <w:noWrap w:val="0"/>
            <w:vAlign w:val="top"/>
          </w:tcPr>
          <w:p w14:paraId="0B2BCE5F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eastAsia="zh-CN"/>
              </w:rPr>
              <w:t>上海广诺化学</w:t>
            </w:r>
          </w:p>
        </w:tc>
        <w:tc>
          <w:tcPr>
            <w:tcW w:w="2931" w:type="dxa"/>
            <w:noWrap w:val="0"/>
            <w:vAlign w:val="top"/>
          </w:tcPr>
          <w:p w14:paraId="5BC28EB3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无</w:t>
            </w:r>
          </w:p>
        </w:tc>
      </w:tr>
      <w:tr w14:paraId="0C68CA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37BD7CCA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  <w:t>苏木素染液</w:t>
            </w:r>
          </w:p>
        </w:tc>
        <w:tc>
          <w:tcPr>
            <w:tcW w:w="2807" w:type="dxa"/>
            <w:noWrap w:val="0"/>
            <w:vAlign w:val="top"/>
          </w:tcPr>
          <w:p w14:paraId="05A0F8CE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珠海贝索</w:t>
            </w:r>
          </w:p>
        </w:tc>
        <w:tc>
          <w:tcPr>
            <w:tcW w:w="2931" w:type="dxa"/>
            <w:noWrap w:val="0"/>
            <w:vAlign w:val="top"/>
          </w:tcPr>
          <w:p w14:paraId="72AA1B9D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BA4041</w:t>
            </w:r>
          </w:p>
        </w:tc>
      </w:tr>
      <w:tr w14:paraId="7DFAA1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5585BAF6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  <w:t>醇溶伊红染液</w:t>
            </w:r>
          </w:p>
        </w:tc>
        <w:tc>
          <w:tcPr>
            <w:tcW w:w="2807" w:type="dxa"/>
            <w:noWrap w:val="0"/>
            <w:vAlign w:val="top"/>
          </w:tcPr>
          <w:p w14:paraId="718B2957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珠海贝索</w:t>
            </w:r>
          </w:p>
        </w:tc>
        <w:tc>
          <w:tcPr>
            <w:tcW w:w="2931" w:type="dxa"/>
            <w:noWrap w:val="0"/>
            <w:vAlign w:val="top"/>
          </w:tcPr>
          <w:p w14:paraId="5302A081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BA4022</w:t>
            </w:r>
          </w:p>
        </w:tc>
      </w:tr>
      <w:tr w14:paraId="013310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63" w:type="dxa"/>
            <w:noWrap w:val="0"/>
            <w:vAlign w:val="top"/>
          </w:tcPr>
          <w:p w14:paraId="02F5D4DB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中性树胶</w:t>
            </w:r>
          </w:p>
        </w:tc>
        <w:tc>
          <w:tcPr>
            <w:tcW w:w="2807" w:type="dxa"/>
            <w:noWrap w:val="0"/>
            <w:vAlign w:val="top"/>
          </w:tcPr>
          <w:p w14:paraId="13661646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  <w:t>无锡江原</w:t>
            </w:r>
          </w:p>
        </w:tc>
        <w:tc>
          <w:tcPr>
            <w:tcW w:w="2931" w:type="dxa"/>
            <w:noWrap w:val="0"/>
            <w:vAlign w:val="top"/>
          </w:tcPr>
          <w:p w14:paraId="6B0C61B2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  <w:t>ZLI-9516</w:t>
            </w:r>
          </w:p>
        </w:tc>
      </w:tr>
    </w:tbl>
    <w:p w14:paraId="40AA0D2C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</w:p>
    <w:p w14:paraId="0568EDC0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</w:p>
    <w:p w14:paraId="49401C9F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</w:p>
    <w:p w14:paraId="377BB80B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</w:p>
    <w:p w14:paraId="74306583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  <w:r>
        <w:rPr>
          <w:rFonts w:hint="eastAsia" w:ascii="楷体" w:hAnsi="楷体" w:eastAsia="楷体" w:cs="楷体"/>
          <w:b/>
          <w:sz w:val="28"/>
          <w:szCs w:val="28"/>
        </w:rPr>
        <w:t>三、实验器材</w:t>
      </w:r>
    </w:p>
    <w:tbl>
      <w:tblPr>
        <w:tblStyle w:val="8"/>
        <w:tblpPr w:leftFromText="180" w:rightFromText="180" w:vertAnchor="text" w:horzAnchor="page" w:tblpX="1960" w:tblpY="205"/>
        <w:tblOverlap w:val="never"/>
        <w:tblW w:w="8131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2885"/>
        <w:gridCol w:w="2111"/>
      </w:tblGrid>
      <w:tr w14:paraId="6BB021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3135" w:type="dxa"/>
            <w:tcBorders>
              <w:top w:val="single" w:color="000000" w:sz="12" w:space="0"/>
              <w:bottom w:val="single" w:color="000000" w:sz="12" w:space="0"/>
            </w:tcBorders>
            <w:noWrap w:val="0"/>
            <w:vAlign w:val="top"/>
          </w:tcPr>
          <w:p w14:paraId="3F16A750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名称</w:t>
            </w:r>
          </w:p>
        </w:tc>
        <w:tc>
          <w:tcPr>
            <w:tcW w:w="2885" w:type="dxa"/>
            <w:tcBorders>
              <w:top w:val="single" w:color="000000" w:sz="12" w:space="0"/>
              <w:bottom w:val="single" w:color="000000" w:sz="12" w:space="0"/>
            </w:tcBorders>
            <w:noWrap w:val="0"/>
            <w:vAlign w:val="top"/>
          </w:tcPr>
          <w:p w14:paraId="2E0A2052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厂家</w:t>
            </w:r>
          </w:p>
        </w:tc>
        <w:tc>
          <w:tcPr>
            <w:tcW w:w="2111" w:type="dxa"/>
            <w:tcBorders>
              <w:top w:val="single" w:color="000000" w:sz="12" w:space="0"/>
              <w:bottom w:val="single" w:color="000000" w:sz="12" w:space="0"/>
            </w:tcBorders>
            <w:noWrap w:val="0"/>
            <w:vAlign w:val="top"/>
          </w:tcPr>
          <w:p w14:paraId="5F6EA592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型号</w:t>
            </w:r>
          </w:p>
        </w:tc>
      </w:tr>
      <w:tr w14:paraId="1267B64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35" w:type="dxa"/>
            <w:tcBorders>
              <w:top w:val="single" w:color="000000" w:sz="12" w:space="0"/>
            </w:tcBorders>
            <w:noWrap w:val="0"/>
            <w:vAlign w:val="top"/>
          </w:tcPr>
          <w:p w14:paraId="335F20D6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OCT包埋剂</w:t>
            </w:r>
          </w:p>
        </w:tc>
        <w:tc>
          <w:tcPr>
            <w:tcW w:w="2885" w:type="dxa"/>
            <w:tcBorders>
              <w:top w:val="single" w:color="000000" w:sz="12" w:space="0"/>
            </w:tcBorders>
            <w:noWrap w:val="0"/>
            <w:vAlign w:val="top"/>
          </w:tcPr>
          <w:p w14:paraId="61D15C73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  <w:t>樱花</w:t>
            </w:r>
          </w:p>
        </w:tc>
        <w:tc>
          <w:tcPr>
            <w:tcW w:w="2111" w:type="dxa"/>
            <w:tcBorders>
              <w:top w:val="single" w:color="000000" w:sz="12" w:space="0"/>
            </w:tcBorders>
            <w:noWrap w:val="0"/>
            <w:vAlign w:val="top"/>
          </w:tcPr>
          <w:p w14:paraId="6B10CDAE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4583</w:t>
            </w:r>
          </w:p>
        </w:tc>
      </w:tr>
      <w:tr w14:paraId="473455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79375B05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冷冻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切片机</w:t>
            </w:r>
          </w:p>
        </w:tc>
        <w:tc>
          <w:tcPr>
            <w:tcW w:w="2885" w:type="dxa"/>
            <w:noWrap w:val="0"/>
            <w:vAlign w:val="top"/>
          </w:tcPr>
          <w:p w14:paraId="7725E9A6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ThermoFisher</w:t>
            </w:r>
          </w:p>
        </w:tc>
        <w:tc>
          <w:tcPr>
            <w:tcW w:w="2111" w:type="dxa"/>
            <w:noWrap w:val="0"/>
            <w:vAlign w:val="top"/>
          </w:tcPr>
          <w:p w14:paraId="06D51DBF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HM525NX</w:t>
            </w:r>
          </w:p>
        </w:tc>
      </w:tr>
      <w:tr w14:paraId="788E0AA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1A94A587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切片刀</w:t>
            </w:r>
          </w:p>
        </w:tc>
        <w:tc>
          <w:tcPr>
            <w:tcW w:w="2885" w:type="dxa"/>
            <w:noWrap w:val="0"/>
            <w:vAlign w:val="top"/>
          </w:tcPr>
          <w:p w14:paraId="30516CEB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Leica</w:t>
            </w:r>
          </w:p>
        </w:tc>
        <w:tc>
          <w:tcPr>
            <w:tcW w:w="2111" w:type="dxa"/>
            <w:noWrap w:val="0"/>
            <w:vAlign w:val="top"/>
          </w:tcPr>
          <w:p w14:paraId="43AB6E8A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Leica 819</w:t>
            </w:r>
          </w:p>
        </w:tc>
      </w:tr>
      <w:tr w14:paraId="123EB1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3135" w:type="dxa"/>
            <w:noWrap w:val="0"/>
            <w:vAlign w:val="top"/>
          </w:tcPr>
          <w:p w14:paraId="0B59D0E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粘附载玻片</w:t>
            </w:r>
          </w:p>
        </w:tc>
        <w:tc>
          <w:tcPr>
            <w:tcW w:w="2885" w:type="dxa"/>
            <w:noWrap w:val="0"/>
            <w:vAlign w:val="top"/>
          </w:tcPr>
          <w:p w14:paraId="62F7E482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ebiogo</w:t>
            </w:r>
          </w:p>
        </w:tc>
        <w:tc>
          <w:tcPr>
            <w:tcW w:w="2111" w:type="dxa"/>
            <w:noWrap w:val="0"/>
            <w:vAlign w:val="top"/>
          </w:tcPr>
          <w:p w14:paraId="50DF177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B004</w:t>
            </w:r>
          </w:p>
        </w:tc>
      </w:tr>
      <w:tr w14:paraId="54620C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4EF41B6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显微镜</w:t>
            </w:r>
          </w:p>
        </w:tc>
        <w:tc>
          <w:tcPr>
            <w:tcW w:w="2885" w:type="dxa"/>
            <w:noWrap w:val="0"/>
            <w:vAlign w:val="top"/>
          </w:tcPr>
          <w:p w14:paraId="476E867C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</w:rPr>
              <w:t>OLYMPUS</w:t>
            </w:r>
          </w:p>
        </w:tc>
        <w:tc>
          <w:tcPr>
            <w:tcW w:w="2111" w:type="dxa"/>
            <w:noWrap w:val="0"/>
            <w:vAlign w:val="top"/>
          </w:tcPr>
          <w:p w14:paraId="14DA6667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</w:rPr>
              <w:t>CX41</w:t>
            </w:r>
          </w:p>
        </w:tc>
      </w:tr>
    </w:tbl>
    <w:p w14:paraId="1E6545DB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5E8677CD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四、结果判读</w:t>
      </w:r>
    </w:p>
    <w:p w14:paraId="1D2E818C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细胞核蓝紫色，细胞质、间质及各种纤维呈现不同程度的红色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。</w:t>
      </w:r>
    </w:p>
    <w:p w14:paraId="2C017C98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66690" cy="2834640"/>
            <wp:effectExtent l="0" t="0" r="10160" b="3810"/>
            <wp:docPr id="6" name="图片 6" descr="E:/刘路/图库/HE/肝_200.jpg肝_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:/刘路/图库/HE/肝_200.jpg肝_200"/>
                    <pic:cNvPicPr>
                      <a:picLocks noChangeAspect="1"/>
                    </pic:cNvPicPr>
                  </pic:nvPicPr>
                  <pic:blipFill>
                    <a:blip r:embed="rId10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85023">
      <w:pPr>
        <w:numPr>
          <w:ilvl w:val="0"/>
          <w:numId w:val="0"/>
        </w:numPr>
        <w:jc w:val="center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示例图（肝组织）</w:t>
      </w:r>
    </w:p>
    <w:p w14:paraId="506E512B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4D23C0DE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5036D85B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7B61644D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5817538B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09F6CD23">
      <w:pPr>
        <w:numPr>
          <w:ilvl w:val="0"/>
          <w:numId w:val="3"/>
        </w:numPr>
        <w:ind w:leftChars="0"/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注意事项</w:t>
      </w:r>
    </w:p>
    <w:p w14:paraId="58132284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1.盐酸酒精分化时间要灵活掌握，可以在切片蓝化后镜下观察。同时在伊红染色完毕后在显微镜下观察，以调整苏木素、伊红染色时间。</w:t>
      </w:r>
    </w:p>
    <w:p w14:paraId="16889053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2.染色后的脱水透明也很重要，若脱水不完全，切片会模糊不清，脱水的乙醇要保持纯度，切片在进入脱水乙醇前尽量把水份去掉。</w:t>
      </w:r>
    </w:p>
    <w:p w14:paraId="75E4F517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3.切片在苯酚-二甲苯中要浸泡充分，以防止将水份带入二甲苯中。</w:t>
      </w:r>
    </w:p>
    <w:p w14:paraId="00FA4D29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641BAA81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12475400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28"/>
          <w:szCs w:val="28"/>
        </w:rPr>
      </w:pPr>
    </w:p>
    <w:p w14:paraId="443775E2">
      <w:pPr>
        <w:tabs>
          <w:tab w:val="left" w:pos="1378"/>
        </w:tabs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439AA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18C1D940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69D63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E60DB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CEE48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D34184F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739F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95D74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8375D40"/>
    <w:multiLevelType w:val="singleLevel"/>
    <w:tmpl w:val="B8375D4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QwYjVmZDk1NDRjMGY0NGNkZTAyNjRkYjFhZjI2NzQifQ=="/>
  </w:docVars>
  <w:rsids>
    <w:rsidRoot w:val="00F84F93"/>
    <w:rsid w:val="000056ED"/>
    <w:rsid w:val="000809E9"/>
    <w:rsid w:val="0012477F"/>
    <w:rsid w:val="003D5370"/>
    <w:rsid w:val="00476E95"/>
    <w:rsid w:val="004C4D5C"/>
    <w:rsid w:val="00514363"/>
    <w:rsid w:val="00582FF6"/>
    <w:rsid w:val="0068693A"/>
    <w:rsid w:val="00715073"/>
    <w:rsid w:val="00E33ACB"/>
    <w:rsid w:val="00F5634C"/>
    <w:rsid w:val="00F84F93"/>
    <w:rsid w:val="024A2DCC"/>
    <w:rsid w:val="059C5356"/>
    <w:rsid w:val="060B15EF"/>
    <w:rsid w:val="063751C7"/>
    <w:rsid w:val="07952C5A"/>
    <w:rsid w:val="0866137F"/>
    <w:rsid w:val="0BDB211D"/>
    <w:rsid w:val="0EF32F7C"/>
    <w:rsid w:val="11C961EA"/>
    <w:rsid w:val="12F12BF3"/>
    <w:rsid w:val="14FF366D"/>
    <w:rsid w:val="178D0866"/>
    <w:rsid w:val="18502F73"/>
    <w:rsid w:val="1B635AC2"/>
    <w:rsid w:val="1FD464A9"/>
    <w:rsid w:val="206F41B2"/>
    <w:rsid w:val="20F477DC"/>
    <w:rsid w:val="22DE53E8"/>
    <w:rsid w:val="280D678A"/>
    <w:rsid w:val="2890116A"/>
    <w:rsid w:val="298A7967"/>
    <w:rsid w:val="29AC1EA4"/>
    <w:rsid w:val="2BE617CC"/>
    <w:rsid w:val="2CDF6112"/>
    <w:rsid w:val="2E2671CD"/>
    <w:rsid w:val="2F454A5C"/>
    <w:rsid w:val="30DE6A57"/>
    <w:rsid w:val="30ED0D01"/>
    <w:rsid w:val="31E9166D"/>
    <w:rsid w:val="340814C4"/>
    <w:rsid w:val="351B31ED"/>
    <w:rsid w:val="36A341BC"/>
    <w:rsid w:val="3AF50387"/>
    <w:rsid w:val="3B8E778B"/>
    <w:rsid w:val="3B967DBB"/>
    <w:rsid w:val="3CD15B81"/>
    <w:rsid w:val="3D4F1157"/>
    <w:rsid w:val="3E5E3780"/>
    <w:rsid w:val="3ED04A17"/>
    <w:rsid w:val="3EF2064F"/>
    <w:rsid w:val="40916C03"/>
    <w:rsid w:val="417411D1"/>
    <w:rsid w:val="42A87384"/>
    <w:rsid w:val="450B6B71"/>
    <w:rsid w:val="46647617"/>
    <w:rsid w:val="50016325"/>
    <w:rsid w:val="50FF18BC"/>
    <w:rsid w:val="524D5852"/>
    <w:rsid w:val="55880513"/>
    <w:rsid w:val="55C17BB3"/>
    <w:rsid w:val="575B27BF"/>
    <w:rsid w:val="57DB745C"/>
    <w:rsid w:val="5BE81A42"/>
    <w:rsid w:val="5C483EAB"/>
    <w:rsid w:val="5DA14EE3"/>
    <w:rsid w:val="5FA75C60"/>
    <w:rsid w:val="60CB1651"/>
    <w:rsid w:val="62B145AE"/>
    <w:rsid w:val="65835CCE"/>
    <w:rsid w:val="662F0BB0"/>
    <w:rsid w:val="66C14F76"/>
    <w:rsid w:val="66F578A4"/>
    <w:rsid w:val="67273367"/>
    <w:rsid w:val="67A27F96"/>
    <w:rsid w:val="691A6F90"/>
    <w:rsid w:val="6AF40B09"/>
    <w:rsid w:val="6C0A0200"/>
    <w:rsid w:val="6D910891"/>
    <w:rsid w:val="6E985C4F"/>
    <w:rsid w:val="6F2046AC"/>
    <w:rsid w:val="71132442"/>
    <w:rsid w:val="71C946D1"/>
    <w:rsid w:val="71FA5A88"/>
    <w:rsid w:val="75D0200F"/>
    <w:rsid w:val="76ED498D"/>
    <w:rsid w:val="77B116AD"/>
    <w:rsid w:val="785D30DA"/>
    <w:rsid w:val="7B27520B"/>
    <w:rsid w:val="7B6B541E"/>
    <w:rsid w:val="7B9003DA"/>
    <w:rsid w:val="7CA12B8F"/>
    <w:rsid w:val="7E4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828</Words>
  <Characters>1012</Characters>
  <Lines>27</Lines>
  <Paragraphs>7</Paragraphs>
  <TotalTime>2</TotalTime>
  <ScaleCrop>false</ScaleCrop>
  <LinksUpToDate>false</LinksUpToDate>
  <CharactersWithSpaces>1030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2025-07-24T07:54:52Z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