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51F90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7B8011AF">
      <w:pPr>
        <w:jc w:val="center"/>
        <w:rPr>
          <w:rFonts w:eastAsia="楷体"/>
          <w:b/>
          <w:sz w:val="52"/>
          <w:szCs w:val="52"/>
        </w:rPr>
      </w:pPr>
    </w:p>
    <w:p w14:paraId="0E399397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10E7DF65">
      <w:pPr>
        <w:jc w:val="center"/>
        <w:rPr>
          <w:rFonts w:eastAsia="楷体"/>
          <w:sz w:val="52"/>
          <w:szCs w:val="52"/>
        </w:rPr>
      </w:pPr>
    </w:p>
    <w:p w14:paraId="5DE8F159">
      <w:pPr>
        <w:jc w:val="center"/>
        <w:rPr>
          <w:rFonts w:eastAsia="楷体"/>
          <w:sz w:val="28"/>
          <w:szCs w:val="28"/>
        </w:rPr>
      </w:pPr>
    </w:p>
    <w:p w14:paraId="37FDEE9E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番红固绿染色</w:t>
      </w:r>
    </w:p>
    <w:p w14:paraId="610DBDAF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</w:p>
    <w:p w14:paraId="56E1D05F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5B57607F">
      <w:pPr>
        <w:rPr>
          <w:rFonts w:eastAsia="楷体"/>
          <w:sz w:val="28"/>
          <w:szCs w:val="28"/>
        </w:rPr>
      </w:pPr>
    </w:p>
    <w:p w14:paraId="5C486BB4">
      <w:pPr>
        <w:rPr>
          <w:rFonts w:eastAsia="楷体"/>
          <w:sz w:val="28"/>
          <w:szCs w:val="28"/>
        </w:rPr>
      </w:pPr>
    </w:p>
    <w:p w14:paraId="0458C5E5">
      <w:pPr>
        <w:rPr>
          <w:rFonts w:eastAsia="楷体"/>
          <w:sz w:val="28"/>
          <w:szCs w:val="28"/>
        </w:rPr>
      </w:pPr>
    </w:p>
    <w:p w14:paraId="6C704914">
      <w:pPr>
        <w:rPr>
          <w:rFonts w:eastAsia="楷体"/>
          <w:sz w:val="28"/>
          <w:szCs w:val="28"/>
        </w:rPr>
      </w:pPr>
    </w:p>
    <w:p w14:paraId="79C68A38">
      <w:pPr>
        <w:rPr>
          <w:rFonts w:eastAsia="楷体"/>
          <w:sz w:val="28"/>
          <w:szCs w:val="28"/>
        </w:rPr>
      </w:pPr>
    </w:p>
    <w:p w14:paraId="00104D5F">
      <w:pPr>
        <w:spacing w:line="360" w:lineRule="auto"/>
        <w:rPr>
          <w:rFonts w:eastAsia="楷体"/>
          <w:sz w:val="28"/>
          <w:szCs w:val="28"/>
        </w:rPr>
      </w:pPr>
    </w:p>
    <w:p w14:paraId="3557A612">
      <w:pPr>
        <w:spacing w:line="360" w:lineRule="auto"/>
        <w:rPr>
          <w:rFonts w:eastAsia="楷体"/>
          <w:sz w:val="28"/>
          <w:szCs w:val="28"/>
        </w:rPr>
      </w:pPr>
    </w:p>
    <w:p w14:paraId="7D275092">
      <w:pPr>
        <w:spacing w:line="360" w:lineRule="auto"/>
        <w:rPr>
          <w:rFonts w:eastAsia="楷体"/>
          <w:sz w:val="28"/>
          <w:szCs w:val="28"/>
        </w:rPr>
      </w:pPr>
    </w:p>
    <w:p w14:paraId="6756AC52">
      <w:pPr>
        <w:spacing w:line="360" w:lineRule="auto"/>
        <w:rPr>
          <w:rFonts w:eastAsia="楷体"/>
          <w:sz w:val="28"/>
          <w:szCs w:val="28"/>
        </w:rPr>
      </w:pPr>
    </w:p>
    <w:p w14:paraId="12EB86D8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岳彩文</w:t>
      </w:r>
    </w:p>
    <w:p w14:paraId="2A4C2878">
      <w:pPr>
        <w:spacing w:line="360" w:lineRule="auto"/>
        <w:ind w:firstLine="5040" w:firstLineChars="1800"/>
        <w:jc w:val="center"/>
        <w:rPr>
          <w:rFonts w:hint="default" w:eastAsia="楷体"/>
          <w:b/>
          <w:bCs/>
          <w:sz w:val="28"/>
          <w:szCs w:val="28"/>
          <w:lang w:val="en-US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5-7-9</w:t>
      </w: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62120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82635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58501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sdt>
                  <w:sdtPr>
                    <w:rPr>
                      <w:rFonts w:hint="eastAsia" w:ascii="楷体" w:hAnsi="楷体" w:eastAsia="楷体" w:cs="楷体"/>
                      <w:kern w:val="2"/>
                      <w:sz w:val="52"/>
                      <w:szCs w:val="52"/>
                      <w:lang w:val="en-US" w:eastAsia="zh-CN" w:bidi="ar-SA"/>
                    </w:rPr>
                    <w:id w:val="147457165"/>
                    <w15:color w:val="DBDBDB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sdtEndPr>
                  <w:sdtContent>
                    <w:p w14:paraId="613A0F52">
                      <w:pPr>
                        <w:spacing w:before="0" w:beforeLines="0" w:after="0" w:afterLines="0" w:line="240" w:lineRule="auto"/>
                        <w:ind w:left="0" w:leftChars="0" w:right="0" w:rightChars="0" w:firstLine="0" w:firstLineChars="0"/>
                        <w:jc w:val="center"/>
                        <w:rPr>
                          <w:rFonts w:hint="eastAsia" w:ascii="楷体" w:hAnsi="楷体" w:eastAsia="楷体" w:cs="楷体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52"/>
                          <w:szCs w:val="52"/>
                        </w:rPr>
                        <w:t>目录</w:t>
                      </w:r>
                    </w:p>
                    <w:p w14:paraId="6E40AC4A">
                      <w:pPr>
                        <w:pStyle w:val="12"/>
                        <w:tabs>
                          <w:tab w:val="right" w:leader="dot" w:pos="8306"/>
                        </w:tabs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kern w:val="2"/>
                          <w:sz w:val="21"/>
                          <w:szCs w:val="24"/>
                          <w:lang w:val="en-US" w:eastAsia="zh-CN" w:bidi="ar-SA"/>
                        </w:rPr>
                        <w:fldChar w:fldCharType="begin"/>
                      </w:r>
                      <w:r>
                        <w:rPr>
                          <w:rFonts w:hint="eastAsia" w:ascii="Times New Roman" w:hAnsi="Times New Roman" w:eastAsia="宋体" w:cs="Times New Roman"/>
                          <w:kern w:val="2"/>
                          <w:sz w:val="21"/>
                          <w:szCs w:val="24"/>
                          <w:lang w:val="en-US" w:eastAsia="zh-CN" w:bidi="ar-SA"/>
                        </w:rPr>
                        <w:instrText xml:space="preserve">TOC \o "1-1" \h \u </w:instrText>
                      </w:r>
                      <w:r>
                        <w:rPr>
                          <w:rFonts w:hint="eastAsia" w:ascii="Times New Roman" w:hAnsi="Times New Roman" w:eastAsia="宋体" w:cs="Times New Roman"/>
                          <w:kern w:val="2"/>
                          <w:sz w:val="21"/>
                          <w:szCs w:val="24"/>
                          <w:lang w:val="en-US" w:eastAsia="zh-CN" w:bidi="ar-SA"/>
                        </w:rPr>
                        <w:fldChar w:fldCharType="separate"/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begin"/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instrText xml:space="preserve"> HYPERLINK \l _Toc19795 </w:instrText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separate"/>
                      </w:r>
                      <w:r>
                        <w:rPr>
                          <w:rFonts w:hint="eastAsia" w:ascii="楷体" w:hAnsi="楷体" w:eastAsia="楷体" w:cs="楷体"/>
                          <w:bCs/>
                          <w:sz w:val="28"/>
                          <w:szCs w:val="28"/>
                          <w:lang w:val="en-US" w:eastAsia="zh-CN"/>
                        </w:rPr>
                        <w:t>一、实验步骤</w: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instrText xml:space="preserve"> PAGEREF _Toc19795 \h </w:instrTex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separate"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end"/>
                      </w:r>
                    </w:p>
                    <w:p w14:paraId="7B22054C">
                      <w:pPr>
                        <w:pStyle w:val="12"/>
                        <w:tabs>
                          <w:tab w:val="right" w:leader="dot" w:pos="8306"/>
                        </w:tabs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begin"/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instrText xml:space="preserve"> HYPERLINK \l _Toc17126 </w:instrText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separate"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二、实验主要试剂</w: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instrText xml:space="preserve"> PAGEREF _Toc17126 \h </w:instrTex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separate"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end"/>
                      </w:r>
                    </w:p>
                    <w:p w14:paraId="08E3E126">
                      <w:pPr>
                        <w:pStyle w:val="12"/>
                        <w:tabs>
                          <w:tab w:val="right" w:leader="dot" w:pos="8306"/>
                        </w:tabs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begin"/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instrText xml:space="preserve"> HYPERLINK \l _Toc27860 </w:instrText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separate"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三、实验器材</w: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instrText xml:space="preserve"> PAGEREF _Toc27860 \h </w:instrTex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separate"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end"/>
                      </w:r>
                    </w:p>
                    <w:p w14:paraId="17152493">
                      <w:pPr>
                        <w:pStyle w:val="12"/>
                        <w:tabs>
                          <w:tab w:val="right" w:leader="dot" w:pos="8306"/>
                        </w:tabs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begin"/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instrText xml:space="preserve"> HYPERLINK \l _Toc23748 </w:instrText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separate"/>
                      </w:r>
                      <w:r>
                        <w:rPr>
                          <w:rFonts w:hint="eastAsia" w:ascii="楷体" w:hAnsi="楷体" w:eastAsia="楷体" w:cs="楷体"/>
                          <w:bCs/>
                          <w:sz w:val="28"/>
                          <w:szCs w:val="28"/>
                          <w:lang w:val="en-US" w:eastAsia="zh-CN"/>
                        </w:rPr>
                        <w:t>四、结果判读</w: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instrText xml:space="preserve"> PAGEREF _Toc23748 \h </w:instrTex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separate"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end"/>
                      </w:r>
                    </w:p>
                    <w:p w14:paraId="7599B704">
                      <w:pPr>
                        <w:pStyle w:val="12"/>
                        <w:tabs>
                          <w:tab w:val="right" w:leader="dot" w:pos="8306"/>
                        </w:tabs>
                      </w:pP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begin"/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instrText xml:space="preserve"> HYPERLINK \l _Toc23226 </w:instrText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separate"/>
                      </w:r>
                      <w:r>
                        <w:rPr>
                          <w:rFonts w:hint="eastAsia" w:ascii="楷体" w:hAnsi="楷体" w:eastAsia="楷体" w:cs="楷体"/>
                          <w:bCs/>
                          <w:sz w:val="28"/>
                          <w:szCs w:val="28"/>
                          <w:lang w:val="en-US" w:eastAsia="zh-CN"/>
                        </w:rPr>
                        <w:t>五、注意事项</w: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instrText xml:space="preserve"> PAGEREF _Toc23226 \h </w:instrTex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separate"/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rFonts w:hint="eastAsia" w:ascii="楷体" w:hAnsi="楷体" w:eastAsia="楷体" w:cs="楷体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fldChar w:fldCharType="end"/>
                      </w:r>
                    </w:p>
                    <w:p w14:paraId="4DDE2A3C">
                      <w:pPr>
                        <w:bidi w:val="0"/>
                        <w:rPr>
                          <w:rFonts w:hint="eastAsia" w:ascii="Times New Roman" w:hAnsi="Times New Roman" w:eastAsia="宋体" w:cs="Times New Roman"/>
                          <w:kern w:val="2"/>
                          <w:sz w:val="21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kern w:val="2"/>
                          <w:szCs w:val="24"/>
                          <w:lang w:val="en-US" w:eastAsia="zh-CN" w:bidi="ar-SA"/>
                        </w:rPr>
                        <w:fldChar w:fldCharType="end"/>
                      </w:r>
                    </w:p>
                  </w:sdtContent>
                </w:sdt>
                <w:p w14:paraId="2BF734C4">
                  <w:pPr>
                    <w:bidi w:val="0"/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pPr>
                </w:p>
                <w:p w14:paraId="547CBE95">
                  <w:pPr>
                    <w:bidi w:val="0"/>
                    <w:rPr>
                      <w:rFonts w:hint="eastAsia"/>
                      <w:lang w:val="en-US" w:eastAsia="zh-CN"/>
                    </w:rPr>
                  </w:pPr>
                </w:p>
                <w:p w14:paraId="6FF24337">
                  <w:pPr>
                    <w:bidi w:val="0"/>
                    <w:rPr>
                      <w:rFonts w:hint="eastAsia"/>
                      <w:lang w:val="en-US" w:eastAsia="zh-CN"/>
                    </w:rPr>
                  </w:pPr>
                </w:p>
                <w:p w14:paraId="13E48718">
                  <w:pPr>
                    <w:bidi w:val="0"/>
                    <w:rPr>
                      <w:rFonts w:hint="eastAsia"/>
                      <w:lang w:val="en-US" w:eastAsia="zh-CN"/>
                    </w:rPr>
                  </w:pPr>
                </w:p>
                <w:p w14:paraId="3D859064">
                  <w:pPr>
                    <w:bidi w:val="0"/>
                    <w:rPr>
                      <w:rFonts w:hint="eastAsia"/>
                      <w:lang w:val="en-US" w:eastAsia="zh-CN"/>
                    </w:rPr>
                  </w:pPr>
                </w:p>
                <w:p w14:paraId="760CCF45">
                  <w:pPr>
                    <w:bidi w:val="0"/>
                    <w:rPr>
                      <w:rFonts w:hint="eastAsia"/>
                      <w:lang w:val="en-US" w:eastAsia="zh-CN"/>
                    </w:rPr>
                  </w:pPr>
                </w:p>
                <w:p w14:paraId="0A670EF6">
                  <w:pPr>
                    <w:bidi w:val="0"/>
                    <w:rPr>
                      <w:rFonts w:hint="eastAsia"/>
                      <w:lang w:val="en-US" w:eastAsia="zh-CN"/>
                    </w:rPr>
                  </w:pPr>
                </w:p>
                <w:p w14:paraId="11C726A9">
                  <w:pPr>
                    <w:bidi w:val="0"/>
                    <w:rPr>
                      <w:rFonts w:hint="eastAsia"/>
                      <w:lang w:val="en-US" w:eastAsia="zh-CN"/>
                    </w:rPr>
                  </w:pPr>
                </w:p>
                <w:p w14:paraId="669E00A5">
                  <w:pPr>
                    <w:bidi w:val="0"/>
                    <w:rPr>
                      <w:rFonts w:hint="eastAsia"/>
                      <w:lang w:val="en-US" w:eastAsia="zh-CN"/>
                    </w:rPr>
                  </w:pPr>
                </w:p>
                <w:p w14:paraId="142B2399">
                  <w:pPr>
                    <w:bidi w:val="0"/>
                    <w:rPr>
                      <w:rFonts w:hint="eastAsia"/>
                      <w:lang w:val="en-US" w:eastAsia="zh-CN"/>
                    </w:rPr>
                  </w:pPr>
                </w:p>
                <w:p w14:paraId="3C57F9F2">
                  <w:pPr>
                    <w:tabs>
                      <w:tab w:val="center" w:pos="4153"/>
                    </w:tabs>
                    <w:bidi w:val="0"/>
                    <w:jc w:val="left"/>
                    <w:rPr>
                      <w:rFonts w:hint="eastAsia"/>
                      <w:lang w:val="en-US" w:eastAsia="zh-CN"/>
                    </w:rPr>
                    <w:sectPr>
                      <w:pgSz w:w="11906" w:h="16838"/>
                      <w:pgMar w:top="1440" w:right="1800" w:bottom="1440" w:left="1800" w:header="851" w:footer="992" w:gutter="0"/>
                      <w:cols w:space="425" w:num="1"/>
                      <w:docGrid w:type="lines" w:linePitch="312" w:charSpace="0"/>
                    </w:sectPr>
                  </w:pPr>
                  <w:r>
                    <w:rPr>
                      <w:rFonts w:hint="eastAsia"/>
                      <w:lang w:val="en-US" w:eastAsia="zh-CN"/>
                    </w:rPr>
                    <w:tab/>
                  </w:r>
                </w:p>
                <w:p w14:paraId="27EAE88B">
                  <w:pPr>
                    <w:numPr>
                      <w:ilvl w:val="0"/>
                      <w:numId w:val="1"/>
                    </w:numPr>
                    <w:jc w:val="left"/>
                    <w:outlineLvl w:val="0"/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</w:pPr>
                  <w:bookmarkStart w:id="0" w:name="_Toc19795"/>
                  <w:r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  <w:t>实验步骤</w:t>
                  </w:r>
                  <w:bookmarkEnd w:id="0"/>
                </w:p>
                <w:p w14:paraId="3B6B5E67">
                  <w:pPr>
                    <w:numPr>
                      <w:ilvl w:val="0"/>
                      <w:numId w:val="2"/>
                    </w:numPr>
                    <w:jc w:val="left"/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  <w:t>切片常规脱蜡至水,画疏水圈。</w:t>
                  </w:r>
                </w:p>
                <w:p w14:paraId="2FD552AC">
                  <w:pPr>
                    <w:numPr>
                      <w:ilvl w:val="0"/>
                      <w:numId w:val="2"/>
                    </w:numPr>
                    <w:jc w:val="left"/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  <w:t>滴加新鲜配制的Weigert染液染色5min，蒸馏水洗干净。</w:t>
                  </w:r>
                </w:p>
                <w:p w14:paraId="0A585DA6">
                  <w:pPr>
                    <w:numPr>
                      <w:ilvl w:val="0"/>
                      <w:numId w:val="2"/>
                    </w:numPr>
                    <w:jc w:val="left"/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  <w:t>酸性分化液分化数秒,蒸馏水洗干净。</w:t>
                  </w:r>
                </w:p>
                <w:p w14:paraId="3F1015AE">
                  <w:pPr>
                    <w:numPr>
                      <w:ilvl w:val="0"/>
                      <w:numId w:val="2"/>
                    </w:numPr>
                    <w:jc w:val="left"/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  <w:t>固绿染色液染色5-10min，蒸馏水稍洗。</w:t>
                  </w:r>
                </w:p>
                <w:p w14:paraId="6ED5BB10">
                  <w:pPr>
                    <w:numPr>
                      <w:ilvl w:val="0"/>
                      <w:numId w:val="2"/>
                    </w:numPr>
                    <w:jc w:val="left"/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  <w:t>快速用弱酸溶液洗涤切片，以去除残留的固绿。</w:t>
                  </w:r>
                </w:p>
                <w:p w14:paraId="5E0E0A85">
                  <w:pPr>
                    <w:numPr>
                      <w:ilvl w:val="0"/>
                      <w:numId w:val="2"/>
                    </w:numPr>
                    <w:jc w:val="left"/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  <w:t>番红O染色液染色5-10min，蒸馏水稍洗。</w:t>
                  </w:r>
                </w:p>
                <w:p w14:paraId="282234D8">
                  <w:pPr>
                    <w:numPr>
                      <w:ilvl w:val="0"/>
                      <w:numId w:val="2"/>
                    </w:numPr>
                    <w:jc w:val="left"/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  <w:t>常规脱水，二甲苯透明。</w:t>
                  </w:r>
                </w:p>
                <w:p w14:paraId="5DC139D5">
                  <w:pPr>
                    <w:numPr>
                      <w:ilvl w:val="0"/>
                      <w:numId w:val="2"/>
                    </w:numPr>
                    <w:jc w:val="left"/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  <w:t>中性树胶封片，显微镜观察结果。</w:t>
                  </w:r>
                </w:p>
                <w:p w14:paraId="5CB46342">
                  <w:pPr>
                    <w:spacing w:before="312" w:beforeLines="100" w:after="312" w:afterLines="100" w:line="380" w:lineRule="exact"/>
                    <w:outlineLvl w:val="0"/>
                    <w:rPr>
                      <w:rFonts w:hint="eastAsia" w:ascii="楷体" w:hAnsi="楷体" w:eastAsia="楷体" w:cs="楷体"/>
                      <w:b/>
                      <w:sz w:val="28"/>
                      <w:szCs w:val="28"/>
                    </w:rPr>
                  </w:pPr>
                  <w:bookmarkStart w:id="1" w:name="_Toc17126"/>
                  <w:r>
                    <w:rPr>
                      <w:rFonts w:hint="eastAsia" w:ascii="楷体" w:hAnsi="楷体" w:eastAsia="楷体" w:cs="楷体"/>
                      <w:b/>
                      <w:sz w:val="28"/>
                      <w:szCs w:val="28"/>
                    </w:rPr>
                    <w:t>二、实验主要试剂</w:t>
                  </w:r>
                  <w:bookmarkEnd w:id="1"/>
                </w:p>
                <w:tbl>
                  <w:tblPr>
                    <w:tblStyle w:val="8"/>
                    <w:tblW w:w="8031" w:type="dxa"/>
                    <w:tblInd w:w="189" w:type="dxa"/>
                    <w:tblBorders>
                      <w:top w:val="single" w:color="auto" w:sz="12" w:space="0"/>
                      <w:left w:val="none" w:color="auto" w:sz="0" w:space="0"/>
                      <w:bottom w:val="single" w:color="auto" w:sz="12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677"/>
                    <w:gridCol w:w="2416"/>
                    <w:gridCol w:w="2938"/>
                  </w:tblGrid>
                  <w:tr w14:paraId="6EF9D6BB">
                    <w:tblPrEx>
                      <w:tblBorders>
                        <w:top w:val="single" w:color="auto" w:sz="12" w:space="0"/>
                        <w:left w:val="none" w:color="auto" w:sz="0" w:space="0"/>
                        <w:bottom w:val="single" w:color="auto" w:sz="12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05" w:hRule="atLeast"/>
                    </w:trPr>
                    <w:tc>
                      <w:tcPr>
                        <w:tcW w:w="2677" w:type="dxa"/>
                        <w:tcBorders>
                          <w:top w:val="single" w:color="auto" w:sz="12" w:space="0"/>
                          <w:bottom w:val="single" w:color="auto" w:sz="12" w:space="0"/>
                        </w:tcBorders>
                        <w:noWrap w:val="0"/>
                        <w:vAlign w:val="top"/>
                      </w:tcPr>
                      <w:p w14:paraId="3DB35B01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/>
                            <w:sz w:val="28"/>
                            <w:szCs w:val="28"/>
                          </w:rPr>
                          <w:t>试剂</w:t>
                        </w:r>
                      </w:p>
                    </w:tc>
                    <w:tc>
                      <w:tcPr>
                        <w:tcW w:w="2416" w:type="dxa"/>
                        <w:tcBorders>
                          <w:top w:val="single" w:color="auto" w:sz="12" w:space="0"/>
                          <w:bottom w:val="single" w:color="auto" w:sz="12" w:space="0"/>
                        </w:tcBorders>
                        <w:noWrap w:val="0"/>
                        <w:vAlign w:val="top"/>
                      </w:tcPr>
                      <w:p w14:paraId="5C4F0344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/>
                            <w:sz w:val="28"/>
                            <w:szCs w:val="28"/>
                          </w:rPr>
                          <w:t>厂家</w:t>
                        </w:r>
                      </w:p>
                    </w:tc>
                    <w:tc>
                      <w:tcPr>
                        <w:tcW w:w="2938" w:type="dxa"/>
                        <w:tcBorders>
                          <w:top w:val="single" w:color="auto" w:sz="12" w:space="0"/>
                          <w:bottom w:val="single" w:color="auto" w:sz="12" w:space="0"/>
                        </w:tcBorders>
                        <w:noWrap w:val="0"/>
                        <w:vAlign w:val="top"/>
                      </w:tcPr>
                      <w:p w14:paraId="07338D57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/>
                            <w:sz w:val="28"/>
                            <w:szCs w:val="28"/>
                          </w:rPr>
                          <w:t>货号</w:t>
                        </w:r>
                      </w:p>
                    </w:tc>
                  </w:tr>
                  <w:tr w14:paraId="1783B33D">
                    <w:tblPrEx>
                      <w:tblBorders>
                        <w:top w:val="single" w:color="auto" w:sz="12" w:space="0"/>
                        <w:left w:val="none" w:color="auto" w:sz="0" w:space="0"/>
                        <w:bottom w:val="single" w:color="auto" w:sz="12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30" w:hRule="atLeast"/>
                    </w:trPr>
                    <w:tc>
                      <w:tcPr>
                        <w:tcW w:w="2677" w:type="dxa"/>
                        <w:noWrap w:val="0"/>
                        <w:vAlign w:val="top"/>
                      </w:tcPr>
                      <w:p w14:paraId="526B635F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eastAsia="zh-CN"/>
                          </w:rPr>
                          <w:t>二甲苯</w:t>
                        </w:r>
                      </w:p>
                    </w:tc>
                    <w:tc>
                      <w:tcPr>
                        <w:tcW w:w="2416" w:type="dxa"/>
                        <w:noWrap w:val="0"/>
                        <w:vAlign w:val="top"/>
                      </w:tcPr>
                      <w:p w14:paraId="0D4C7DC0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 w:val="0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 w:val="0"/>
                            <w:bCs/>
                            <w:sz w:val="28"/>
                            <w:szCs w:val="28"/>
                            <w:lang w:eastAsia="zh-CN"/>
                          </w:rPr>
                          <w:t>天津市凯通化学</w:t>
                        </w:r>
                      </w:p>
                    </w:tc>
                    <w:tc>
                      <w:tcPr>
                        <w:tcW w:w="2938" w:type="dxa"/>
                        <w:noWrap w:val="0"/>
                        <w:vAlign w:val="top"/>
                      </w:tcPr>
                      <w:p w14:paraId="7EFFCA7C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val="en-US" w:eastAsia="zh-CN"/>
                          </w:rPr>
                          <w:t>无</w:t>
                        </w:r>
                      </w:p>
                    </w:tc>
                  </w:tr>
                  <w:tr w14:paraId="61A973FE">
                    <w:tblPrEx>
                      <w:tblBorders>
                        <w:top w:val="single" w:color="auto" w:sz="12" w:space="0"/>
                        <w:left w:val="none" w:color="auto" w:sz="0" w:space="0"/>
                        <w:bottom w:val="single" w:color="auto" w:sz="12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30" w:hRule="atLeast"/>
                    </w:trPr>
                    <w:tc>
                      <w:tcPr>
                        <w:tcW w:w="2677" w:type="dxa"/>
                        <w:noWrap w:val="0"/>
                        <w:vAlign w:val="top"/>
                      </w:tcPr>
                      <w:p w14:paraId="390E6A02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eastAsia="zh-CN"/>
                          </w:rPr>
                          <w:t>无水乙醇</w:t>
                        </w:r>
                      </w:p>
                    </w:tc>
                    <w:tc>
                      <w:tcPr>
                        <w:tcW w:w="2416" w:type="dxa"/>
                        <w:noWrap w:val="0"/>
                        <w:vAlign w:val="top"/>
                      </w:tcPr>
                      <w:p w14:paraId="4F6CC3EC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 w:val="0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 w:val="0"/>
                            <w:bCs/>
                            <w:sz w:val="28"/>
                            <w:szCs w:val="28"/>
                            <w:lang w:eastAsia="zh-CN"/>
                          </w:rPr>
                          <w:t>上海广诺化学</w:t>
                        </w:r>
                      </w:p>
                    </w:tc>
                    <w:tc>
                      <w:tcPr>
                        <w:tcW w:w="2938" w:type="dxa"/>
                        <w:noWrap w:val="0"/>
                        <w:vAlign w:val="top"/>
                      </w:tcPr>
                      <w:p w14:paraId="2F824022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val="en-US" w:eastAsia="zh-CN"/>
                          </w:rPr>
                          <w:t>无</w:t>
                        </w:r>
                      </w:p>
                    </w:tc>
                  </w:tr>
                  <w:tr w14:paraId="72BF1F5B">
                    <w:tblPrEx>
                      <w:tblBorders>
                        <w:top w:val="single" w:color="auto" w:sz="12" w:space="0"/>
                        <w:left w:val="none" w:color="auto" w:sz="0" w:space="0"/>
                        <w:bottom w:val="single" w:color="auto" w:sz="12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30" w:hRule="atLeast"/>
                    </w:trPr>
                    <w:tc>
                      <w:tcPr>
                        <w:tcW w:w="2677" w:type="dxa"/>
                        <w:noWrap w:val="0"/>
                        <w:vAlign w:val="top"/>
                      </w:tcPr>
                      <w:p w14:paraId="231E70C6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eastAsia="zh-CN"/>
                          </w:rPr>
                          <w:t>番红固绿染色液</w:t>
                        </w:r>
                      </w:p>
                    </w:tc>
                    <w:tc>
                      <w:tcPr>
                        <w:tcW w:w="2416" w:type="dxa"/>
                        <w:noWrap w:val="0"/>
                        <w:vAlign w:val="top"/>
                      </w:tcPr>
                      <w:p w14:paraId="1DC21618">
                        <w:pPr>
                          <w:spacing w:line="380" w:lineRule="exact"/>
                          <w:jc w:val="center"/>
                          <w:rPr>
                            <w:rFonts w:hint="default" w:ascii="楷体" w:hAnsi="楷体" w:eastAsia="楷体" w:cs="楷体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 w:val="0"/>
                            <w:bCs/>
                            <w:sz w:val="28"/>
                            <w:szCs w:val="28"/>
                            <w:lang w:val="en-US" w:eastAsia="zh-CN"/>
                          </w:rPr>
                          <w:t>Solarbio</w:t>
                        </w:r>
                      </w:p>
                    </w:tc>
                    <w:tc>
                      <w:tcPr>
                        <w:tcW w:w="2938" w:type="dxa"/>
                        <w:noWrap w:val="0"/>
                        <w:vAlign w:val="top"/>
                      </w:tcPr>
                      <w:p w14:paraId="4C2A6F60">
                        <w:pPr>
                          <w:spacing w:line="380" w:lineRule="exact"/>
                          <w:jc w:val="center"/>
                          <w:rPr>
                            <w:rFonts w:hint="default" w:ascii="楷体" w:hAnsi="楷体" w:eastAsia="楷体" w:cs="楷体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val="en-US" w:eastAsia="zh-CN"/>
                          </w:rPr>
                          <w:t>G1371</w:t>
                        </w:r>
                      </w:p>
                    </w:tc>
                  </w:tr>
                  <w:tr w14:paraId="1FA4E158">
                    <w:tblPrEx>
                      <w:tblBorders>
                        <w:top w:val="single" w:color="auto" w:sz="12" w:space="0"/>
                        <w:left w:val="none" w:color="auto" w:sz="0" w:space="0"/>
                        <w:bottom w:val="single" w:color="auto" w:sz="12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15" w:hRule="atLeast"/>
                    </w:trPr>
                    <w:tc>
                      <w:tcPr>
                        <w:tcW w:w="2677" w:type="dxa"/>
                        <w:noWrap w:val="0"/>
                        <w:vAlign w:val="top"/>
                      </w:tcPr>
                      <w:p w14:paraId="7D53B562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eastAsia="zh-CN"/>
                          </w:rPr>
                          <w:t>中性树胶</w:t>
                        </w:r>
                      </w:p>
                    </w:tc>
                    <w:tc>
                      <w:tcPr>
                        <w:tcW w:w="2416" w:type="dxa"/>
                        <w:noWrap w:val="0"/>
                        <w:vAlign w:val="top"/>
                      </w:tcPr>
                      <w:p w14:paraId="56DE9C57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  <w:lang w:val="en-US" w:eastAsia="zh-CN"/>
                          </w:rPr>
                          <w:t>无锡江原</w:t>
                        </w:r>
                      </w:p>
                    </w:tc>
                    <w:tc>
                      <w:tcPr>
                        <w:tcW w:w="2938" w:type="dxa"/>
                        <w:noWrap w:val="0"/>
                        <w:vAlign w:val="top"/>
                      </w:tcPr>
                      <w:p w14:paraId="25063C1A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  <w:lang w:val="en-US" w:eastAsia="zh-CN"/>
                          </w:rPr>
                          <w:t>ZLI-9516</w:t>
                        </w:r>
                      </w:p>
                    </w:tc>
                  </w:tr>
                </w:tbl>
                <w:p w14:paraId="1D88E27B">
                  <w:pPr>
                    <w:numPr>
                      <w:ilvl w:val="0"/>
                      <w:numId w:val="0"/>
                    </w:numPr>
                    <w:jc w:val="left"/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</w:pPr>
                </w:p>
                <w:p w14:paraId="6CE2CE7D">
                  <w:pPr>
                    <w:spacing w:after="156" w:afterLines="50" w:line="380" w:lineRule="exact"/>
                    <w:outlineLvl w:val="0"/>
                    <w:rPr>
                      <w:rFonts w:hint="eastAsia" w:ascii="楷体" w:hAnsi="楷体" w:eastAsia="楷体" w:cs="楷体"/>
                      <w:b/>
                      <w:sz w:val="28"/>
                      <w:szCs w:val="28"/>
                    </w:rPr>
                  </w:pPr>
                  <w:bookmarkStart w:id="2" w:name="_Toc27860"/>
                  <w:r>
                    <w:rPr>
                      <w:rFonts w:hint="eastAsia" w:ascii="楷体" w:hAnsi="楷体" w:eastAsia="楷体" w:cs="楷体"/>
                      <w:b/>
                      <w:sz w:val="28"/>
                      <w:szCs w:val="28"/>
                    </w:rPr>
                    <w:t>三、实验器材</w:t>
                  </w:r>
                  <w:bookmarkEnd w:id="2"/>
                </w:p>
                <w:tbl>
                  <w:tblPr>
                    <w:tblStyle w:val="8"/>
                    <w:tblpPr w:leftFromText="180" w:rightFromText="180" w:vertAnchor="text" w:horzAnchor="page" w:tblpX="1960" w:tblpY="205"/>
                    <w:tblOverlap w:val="never"/>
                    <w:tblW w:w="8078" w:type="dxa"/>
                    <w:tblInd w:w="0" w:type="dxa"/>
                    <w:tblBorders>
                      <w:top w:val="single" w:color="000000" w:sz="12" w:space="0"/>
                      <w:left w:val="none" w:color="auto" w:sz="0" w:space="0"/>
                      <w:bottom w:val="single" w:color="000000" w:sz="12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3060"/>
                    <w:gridCol w:w="2716"/>
                    <w:gridCol w:w="2302"/>
                  </w:tblGrid>
                  <w:tr w14:paraId="171D6E2C">
                    <w:tblPrEx>
                      <w:tblBorders>
                        <w:top w:val="single" w:color="000000" w:sz="12" w:space="0"/>
                        <w:left w:val="none" w:color="auto" w:sz="0" w:space="0"/>
                        <w:bottom w:val="single" w:color="000000" w:sz="12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</w:tblPrEx>
                    <w:trPr>
                      <w:trHeight w:val="468" w:hRule="atLeast"/>
                    </w:trPr>
                    <w:tc>
                      <w:tcPr>
                        <w:tcW w:w="3060" w:type="dxa"/>
                        <w:tcBorders>
                          <w:top w:val="single" w:color="000000" w:sz="12" w:space="0"/>
                          <w:bottom w:val="single" w:color="000000" w:sz="12" w:space="0"/>
                        </w:tcBorders>
                        <w:noWrap w:val="0"/>
                        <w:vAlign w:val="top"/>
                      </w:tcPr>
                      <w:p w14:paraId="5BF96970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/>
                            <w:sz w:val="28"/>
                            <w:szCs w:val="28"/>
                          </w:rPr>
                          <w:t>名称</w:t>
                        </w:r>
                      </w:p>
                    </w:tc>
                    <w:tc>
                      <w:tcPr>
                        <w:tcW w:w="2716" w:type="dxa"/>
                        <w:tcBorders>
                          <w:top w:val="single" w:color="000000" w:sz="12" w:space="0"/>
                          <w:bottom w:val="single" w:color="000000" w:sz="12" w:space="0"/>
                        </w:tcBorders>
                        <w:noWrap w:val="0"/>
                        <w:vAlign w:val="top"/>
                      </w:tcPr>
                      <w:p w14:paraId="472F04E6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/>
                            <w:bCs/>
                            <w:sz w:val="28"/>
                            <w:szCs w:val="28"/>
                          </w:rPr>
                          <w:t>厂家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single" w:color="000000" w:sz="12" w:space="0"/>
                          <w:bottom w:val="single" w:color="000000" w:sz="12" w:space="0"/>
                        </w:tcBorders>
                        <w:noWrap w:val="0"/>
                        <w:vAlign w:val="top"/>
                      </w:tcPr>
                      <w:p w14:paraId="3AB48352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/>
                            <w:bCs/>
                            <w:sz w:val="28"/>
                            <w:szCs w:val="28"/>
                          </w:rPr>
                          <w:t>型号</w:t>
                        </w:r>
                      </w:p>
                    </w:tc>
                  </w:tr>
                  <w:tr w14:paraId="180A7AF4">
                    <w:tblPrEx>
                      <w:tblBorders>
                        <w:top w:val="single" w:color="000000" w:sz="12" w:space="0"/>
                        <w:left w:val="none" w:color="auto" w:sz="0" w:space="0"/>
                        <w:bottom w:val="single" w:color="000000" w:sz="12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39" w:hRule="atLeast"/>
                    </w:trPr>
                    <w:tc>
                      <w:tcPr>
                        <w:tcW w:w="3060" w:type="dxa"/>
                        <w:tcBorders>
                          <w:top w:val="single" w:color="000000" w:sz="12" w:space="0"/>
                        </w:tcBorders>
                        <w:noWrap w:val="0"/>
                        <w:vAlign w:val="top"/>
                      </w:tcPr>
                      <w:p w14:paraId="4D2B26E6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kern w:val="0"/>
                            <w:sz w:val="28"/>
                            <w:szCs w:val="28"/>
                          </w:rPr>
                          <w:t>徕卡切片机</w:t>
                        </w:r>
                      </w:p>
                    </w:tc>
                    <w:tc>
                      <w:tcPr>
                        <w:tcW w:w="2716" w:type="dxa"/>
                        <w:tcBorders>
                          <w:top w:val="single" w:color="000000" w:sz="12" w:space="0"/>
                        </w:tcBorders>
                        <w:noWrap w:val="0"/>
                        <w:vAlign w:val="top"/>
                      </w:tcPr>
                      <w:p w14:paraId="3183308C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kern w:val="0"/>
                            <w:sz w:val="28"/>
                            <w:szCs w:val="28"/>
                          </w:rPr>
                          <w:t>Leica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single" w:color="000000" w:sz="12" w:space="0"/>
                        </w:tcBorders>
                        <w:noWrap w:val="0"/>
                        <w:vAlign w:val="top"/>
                      </w:tcPr>
                      <w:p w14:paraId="3479C895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</w:rPr>
                          <w:t>RM2016</w:t>
                        </w:r>
                      </w:p>
                    </w:tc>
                  </w:tr>
                  <w:tr w14:paraId="6FE6ABF7">
                    <w:tblPrEx>
                      <w:tblBorders>
                        <w:top w:val="single" w:color="000000" w:sz="12" w:space="0"/>
                        <w:left w:val="none" w:color="auto" w:sz="0" w:space="0"/>
                        <w:bottom w:val="single" w:color="000000" w:sz="12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19" w:hRule="atLeast"/>
                    </w:trPr>
                    <w:tc>
                      <w:tcPr>
                        <w:tcW w:w="3060" w:type="dxa"/>
                        <w:noWrap w:val="0"/>
                        <w:vAlign w:val="top"/>
                      </w:tcPr>
                      <w:p w14:paraId="6E5C3481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 w:val="0"/>
                            <w:bCs/>
                            <w:sz w:val="28"/>
                            <w:szCs w:val="28"/>
                            <w:lang w:val="en-US" w:eastAsia="zh-CN"/>
                          </w:rPr>
                          <w:t>切片刀</w:t>
                        </w:r>
                      </w:p>
                    </w:tc>
                    <w:tc>
                      <w:tcPr>
                        <w:tcW w:w="2716" w:type="dxa"/>
                        <w:noWrap w:val="0"/>
                        <w:vAlign w:val="top"/>
                      </w:tcPr>
                      <w:p w14:paraId="48F7F5D3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/>
                            <w:bCs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kern w:val="0"/>
                            <w:sz w:val="28"/>
                            <w:szCs w:val="28"/>
                          </w:rPr>
                          <w:t>Leica</w:t>
                        </w:r>
                      </w:p>
                    </w:tc>
                    <w:tc>
                      <w:tcPr>
                        <w:tcW w:w="2302" w:type="dxa"/>
                        <w:noWrap w:val="0"/>
                        <w:vAlign w:val="top"/>
                      </w:tcPr>
                      <w:p w14:paraId="61733403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  <w:lang w:val="en-US" w:eastAsia="zh-CN"/>
                          </w:rPr>
                          <w:t>Leica 819</w:t>
                        </w:r>
                      </w:p>
                    </w:tc>
                  </w:tr>
                  <w:tr w14:paraId="420D85C4">
                    <w:tblPrEx>
                      <w:tblBorders>
                        <w:top w:val="single" w:color="000000" w:sz="12" w:space="0"/>
                        <w:left w:val="none" w:color="auto" w:sz="0" w:space="0"/>
                        <w:bottom w:val="single" w:color="000000" w:sz="12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19" w:hRule="atLeast"/>
                    </w:trPr>
                    <w:tc>
                      <w:tcPr>
                        <w:tcW w:w="3060" w:type="dxa"/>
                        <w:noWrap w:val="0"/>
                        <w:vAlign w:val="top"/>
                      </w:tcPr>
                      <w:p w14:paraId="07A0A7EE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 w:val="0"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kern w:val="0"/>
                            <w:sz w:val="28"/>
                            <w:szCs w:val="28"/>
                          </w:rPr>
                          <w:t>隔水式恒温培养箱</w:t>
                        </w:r>
                      </w:p>
                    </w:tc>
                    <w:tc>
                      <w:tcPr>
                        <w:tcW w:w="2716" w:type="dxa"/>
                        <w:noWrap w:val="0"/>
                        <w:vAlign w:val="top"/>
                      </w:tcPr>
                      <w:p w14:paraId="6C499D68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color w:val="000000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kern w:val="0"/>
                            <w:sz w:val="28"/>
                            <w:szCs w:val="28"/>
                          </w:rPr>
                          <w:t>上海三发</w:t>
                        </w:r>
                      </w:p>
                    </w:tc>
                    <w:tc>
                      <w:tcPr>
                        <w:tcW w:w="2302" w:type="dxa"/>
                        <w:noWrap w:val="0"/>
                        <w:vAlign w:val="top"/>
                      </w:tcPr>
                      <w:p w14:paraId="7DEC6480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kern w:val="0"/>
                            <w:sz w:val="28"/>
                            <w:szCs w:val="28"/>
                          </w:rPr>
                          <w:t>GNP-9080</w:t>
                        </w:r>
                      </w:p>
                    </w:tc>
                  </w:tr>
                  <w:tr w14:paraId="393B23DA">
                    <w:tblPrEx>
                      <w:tblBorders>
                        <w:top w:val="single" w:color="000000" w:sz="12" w:space="0"/>
                        <w:left w:val="none" w:color="auto" w:sz="0" w:space="0"/>
                        <w:bottom w:val="single" w:color="000000" w:sz="12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87" w:hRule="atLeast"/>
                    </w:trPr>
                    <w:tc>
                      <w:tcPr>
                        <w:tcW w:w="3060" w:type="dxa"/>
                        <w:noWrap w:val="0"/>
                        <w:vAlign w:val="top"/>
                      </w:tcPr>
                      <w:p w14:paraId="1A706AB6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  <w:lang w:val="en-US" w:eastAsia="zh-CN"/>
                          </w:rPr>
                          <w:t>粘附载玻片</w:t>
                        </w:r>
                      </w:p>
                    </w:tc>
                    <w:tc>
                      <w:tcPr>
                        <w:tcW w:w="2716" w:type="dxa"/>
                        <w:noWrap w:val="0"/>
                        <w:vAlign w:val="top"/>
                      </w:tcPr>
                      <w:p w14:paraId="5A948CDC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</w:rPr>
                          <w:t>ebiogo</w:t>
                        </w:r>
                      </w:p>
                    </w:tc>
                    <w:tc>
                      <w:tcPr>
                        <w:tcW w:w="2302" w:type="dxa"/>
                        <w:noWrap w:val="0"/>
                        <w:vAlign w:val="top"/>
                      </w:tcPr>
                      <w:p w14:paraId="69007603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</w:rPr>
                          <w:t>B004</w:t>
                        </w:r>
                      </w:p>
                    </w:tc>
                  </w:tr>
                  <w:tr w14:paraId="7B54F5BE">
                    <w:tblPrEx>
                      <w:tblBorders>
                        <w:top w:val="single" w:color="000000" w:sz="12" w:space="0"/>
                        <w:left w:val="none" w:color="auto" w:sz="0" w:space="0"/>
                        <w:bottom w:val="single" w:color="000000" w:sz="12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19" w:hRule="atLeast"/>
                    </w:trPr>
                    <w:tc>
                      <w:tcPr>
                        <w:tcW w:w="3060" w:type="dxa"/>
                        <w:noWrap w:val="0"/>
                        <w:vAlign w:val="top"/>
                      </w:tcPr>
                      <w:p w14:paraId="4E94FD4A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8"/>
                            <w:szCs w:val="28"/>
                          </w:rPr>
                          <w:t>显微镜</w:t>
                        </w:r>
                      </w:p>
                    </w:tc>
                    <w:tc>
                      <w:tcPr>
                        <w:tcW w:w="2716" w:type="dxa"/>
                        <w:noWrap w:val="0"/>
                        <w:vAlign w:val="top"/>
                      </w:tcPr>
                      <w:p w14:paraId="7281DDE2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</w:rPr>
                          <w:t>OLYMPUS</w:t>
                        </w:r>
                      </w:p>
                    </w:tc>
                    <w:tc>
                      <w:tcPr>
                        <w:tcW w:w="2302" w:type="dxa"/>
                        <w:noWrap w:val="0"/>
                        <w:vAlign w:val="top"/>
                      </w:tcPr>
                      <w:p w14:paraId="134B61C0">
                        <w:pPr>
                          <w:spacing w:line="380" w:lineRule="exact"/>
                          <w:jc w:val="center"/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Cs/>
                            <w:sz w:val="28"/>
                            <w:szCs w:val="28"/>
                          </w:rPr>
                          <w:t>CX41</w:t>
                        </w:r>
                      </w:p>
                    </w:tc>
                  </w:tr>
                </w:tbl>
                <w:p w14:paraId="6CD507B4">
                  <w:pPr>
                    <w:numPr>
                      <w:ilvl w:val="0"/>
                      <w:numId w:val="0"/>
                    </w:numPr>
                    <w:jc w:val="left"/>
                    <w:outlineLvl w:val="0"/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</w:pPr>
                  <w:bookmarkStart w:id="3" w:name="_Toc23748"/>
                </w:p>
                <w:p w14:paraId="6B70AAE2">
                  <w:pPr>
                    <w:numPr>
                      <w:ilvl w:val="0"/>
                      <w:numId w:val="0"/>
                    </w:numPr>
                    <w:jc w:val="left"/>
                    <w:outlineLvl w:val="0"/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  <w:t>四、结果判读</w:t>
                  </w:r>
                  <w:bookmarkEnd w:id="3"/>
                </w:p>
                <w:p w14:paraId="6AEC2614">
                  <w:pPr>
                    <w:numPr>
                      <w:ilvl w:val="0"/>
                      <w:numId w:val="0"/>
                    </w:numPr>
                    <w:jc w:val="left"/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  <w:t>软骨基质及软骨细胞浆呈红色，软骨细胞核呈蓝色，细胞浆、肌肉、胶原纤维及骨组织呈灰绿色，细胞核呈灰黑色</w:t>
                  </w:r>
                  <w:r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  <w:t>。</w:t>
                  </w:r>
                </w:p>
                <w:p w14:paraId="06BD4A70">
                  <w:pPr>
                    <w:numPr>
                      <w:ilvl w:val="0"/>
                      <w:numId w:val="0"/>
                    </w:numPr>
                    <w:jc w:val="left"/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  <w:drawing>
                      <wp:inline distT="0" distB="0" distL="114300" distR="114300">
                        <wp:extent cx="5266690" cy="2834640"/>
                        <wp:effectExtent l="0" t="0" r="10160" b="3810"/>
                        <wp:docPr id="2" name="图片 2" descr="拆4（2）-3A_10.0x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拆4（2）-3A_10.0x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6690" cy="2834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0353CCA">
                  <w:pPr>
                    <w:numPr>
                      <w:ilvl w:val="0"/>
                      <w:numId w:val="0"/>
                    </w:numPr>
                    <w:jc w:val="center"/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b w:val="0"/>
                      <w:bCs w:val="0"/>
                      <w:sz w:val="28"/>
                      <w:szCs w:val="28"/>
                      <w:lang w:val="en-US" w:eastAsia="zh-CN"/>
                    </w:rPr>
                    <w:t>示例图（关节组织）</w:t>
                  </w:r>
                </w:p>
                <w:p w14:paraId="7B077433">
                  <w:pPr>
                    <w:numPr>
                      <w:ilvl w:val="0"/>
                      <w:numId w:val="0"/>
                    </w:numPr>
                    <w:jc w:val="left"/>
                    <w:outlineLvl w:val="0"/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</w:pPr>
                  <w:bookmarkStart w:id="4" w:name="_Toc23226"/>
                  <w:r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  <w:t>五、注意事项</w:t>
                  </w:r>
                  <w:bookmarkEnd w:id="4"/>
                </w:p>
                <w:p w14:paraId="65AF11D4">
                  <w:pPr>
                    <w:keepNext w:val="0"/>
                    <w:keepLines w:val="0"/>
                    <w:widowControl/>
                    <w:numPr>
                      <w:ilvl w:val="0"/>
                      <w:numId w:val="3"/>
                    </w:numPr>
                    <w:suppressLineNumbers w:val="0"/>
                    <w:jc w:val="left"/>
                    <w:rPr>
                      <w:rFonts w:hint="eastAsia" w:ascii="楷体" w:hAnsi="楷体" w:eastAsia="楷体" w:cs="楷体"/>
                      <w:color w:val="151515"/>
                      <w:kern w:val="0"/>
                      <w:sz w:val="28"/>
                      <w:szCs w:val="28"/>
                      <w:lang w:val="en-US" w:eastAsia="zh-CN" w:bidi="ar"/>
                    </w:rPr>
                  </w:pPr>
                  <w:r>
                    <w:rPr>
                      <w:rFonts w:hint="eastAsia" w:ascii="楷体" w:hAnsi="楷体" w:eastAsia="楷体" w:cs="楷体"/>
                      <w:color w:val="151515"/>
                      <w:kern w:val="0"/>
                      <w:sz w:val="28"/>
                      <w:szCs w:val="28"/>
                      <w:lang w:val="en-US" w:eastAsia="zh-CN" w:bidi="ar"/>
                    </w:rPr>
                    <w:t>Weigert苏木素染液不可预先配制后放置，配制好后一般24h失去染色效果。</w:t>
                  </w:r>
                </w:p>
                <w:p w14:paraId="0A4D1F44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color w:val="151515"/>
                      <w:kern w:val="0"/>
                      <w:sz w:val="28"/>
                      <w:szCs w:val="28"/>
                      <w:lang w:val="en-US" w:eastAsia="zh-CN" w:bidi="ar"/>
                    </w:rPr>
                    <w:t xml:space="preserve">2.切片在番红O染液中染色时间不宜过长，否则易导致染色背景的深红色不易分化掉。 </w:t>
                  </w:r>
                </w:p>
                <w:p w14:paraId="5AEDC67B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楷体" w:hAnsi="楷体" w:eastAsia="楷体" w:cs="楷体"/>
                      <w:color w:val="151515"/>
                      <w:kern w:val="0"/>
                      <w:sz w:val="28"/>
                      <w:szCs w:val="28"/>
                      <w:lang w:val="en-US" w:eastAsia="zh-CN" w:bidi="ar"/>
                    </w:rPr>
                  </w:pPr>
                  <w:r>
                    <w:rPr>
                      <w:rFonts w:hint="eastAsia" w:ascii="楷体" w:hAnsi="楷体" w:eastAsia="楷体" w:cs="楷体"/>
                      <w:color w:val="151515"/>
                      <w:kern w:val="0"/>
                      <w:sz w:val="28"/>
                      <w:szCs w:val="28"/>
                      <w:lang w:val="en-US" w:eastAsia="zh-CN" w:bidi="ar"/>
                    </w:rPr>
                    <w:t>3.切片分化时间应恰当，以背景呈绿色为宜。</w:t>
                  </w:r>
                </w:p>
                <w:p w14:paraId="0A5D8B8F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楷体" w:hAnsi="楷体" w:eastAsia="楷体" w:cs="楷体"/>
                      <w:color w:val="151515"/>
                      <w:kern w:val="0"/>
                      <w:sz w:val="28"/>
                      <w:szCs w:val="28"/>
                      <w:lang w:val="en-US" w:eastAsia="zh-CN" w:bidi="ar"/>
                    </w:rPr>
                  </w:pPr>
                  <w:r>
                    <w:rPr>
                      <w:rFonts w:hint="eastAsia" w:ascii="楷体" w:hAnsi="楷体" w:eastAsia="楷体" w:cs="楷体"/>
                      <w:color w:val="151515"/>
                      <w:kern w:val="0"/>
                      <w:sz w:val="28"/>
                      <w:szCs w:val="28"/>
                      <w:lang w:val="en-US" w:eastAsia="zh-CN" w:bidi="ar"/>
                    </w:rPr>
                    <w:t>4.番红O染色后，不宜在低浓度乙醇脱水，否则易褪色。</w:t>
                  </w:r>
                </w:p>
                <w:p w14:paraId="6D610074">
                  <w:pPr>
                    <w:numPr>
                      <w:ilvl w:val="0"/>
                      <w:numId w:val="0"/>
                    </w:numPr>
                    <w:ind w:leftChars="0"/>
                    <w:jc w:val="left"/>
                    <w:rPr>
                      <w:rFonts w:hint="eastAsia" w:ascii="楷体" w:hAnsi="楷体" w:eastAsia="楷体" w:cs="楷体"/>
                      <w:b/>
                      <w:bCs/>
                      <w:sz w:val="28"/>
                      <w:szCs w:val="28"/>
                      <w:lang w:val="en-US" w:eastAsia="zh-CN"/>
                    </w:rPr>
                  </w:pPr>
                </w:p>
                <w:p w14:paraId="00728B71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</w:p>
                <w:p w14:paraId="62B4B6E8">
                  <w:pPr>
                    <w:bidi w:val="0"/>
                    <w:jc w:val="center"/>
                    <w:rPr>
                      <w:rFonts w:hint="eastAsia" w:ascii="楷体" w:hAnsi="楷体" w:eastAsia="楷体" w:cs="楷体"/>
                      <w:kern w:val="2"/>
                      <w:sz w:val="21"/>
                      <w:szCs w:val="28"/>
                      <w:lang w:val="en-US" w:eastAsia="zh-CN" w:bidi="ar-SA"/>
                    </w:rPr>
                  </w:pPr>
                </w:p>
              </w:sdtContent>
            </w:sdt>
          </w:sdtContent>
        </w:sdt>
      </w:sdtContent>
    </w:sdt>
    <w:p w14:paraId="1F528297">
      <w:pPr>
        <w:tabs>
          <w:tab w:val="left" w:pos="6201"/>
        </w:tabs>
        <w:bidi w:val="0"/>
        <w:jc w:val="left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ab/>
      </w:r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89513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411C38CE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A6D1A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14E0F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53481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3FE1D8D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FFF08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CE6EF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abstractNum w:abstractNumId="2">
    <w:nsid w:val="2CD8FDEE"/>
    <w:multiLevelType w:val="singleLevel"/>
    <w:tmpl w:val="2CD8FDE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A0OGI1MDNhZTNmYTMwOTg4YWM1OGE5OTZjNzlhODI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E33ACB"/>
    <w:rsid w:val="00F5634C"/>
    <w:rsid w:val="00F84F93"/>
    <w:rsid w:val="024A2DCC"/>
    <w:rsid w:val="05640624"/>
    <w:rsid w:val="062B3278"/>
    <w:rsid w:val="06F061D0"/>
    <w:rsid w:val="0A5B7E05"/>
    <w:rsid w:val="0BFC73C5"/>
    <w:rsid w:val="11C961EA"/>
    <w:rsid w:val="15325C06"/>
    <w:rsid w:val="1611159F"/>
    <w:rsid w:val="16223ECC"/>
    <w:rsid w:val="1FAD0B99"/>
    <w:rsid w:val="214014EE"/>
    <w:rsid w:val="2802590C"/>
    <w:rsid w:val="2C3C22D1"/>
    <w:rsid w:val="30BC3E94"/>
    <w:rsid w:val="33D75E9F"/>
    <w:rsid w:val="374675C3"/>
    <w:rsid w:val="3889189A"/>
    <w:rsid w:val="3A033549"/>
    <w:rsid w:val="3A8209A9"/>
    <w:rsid w:val="3BF515B8"/>
    <w:rsid w:val="492B0E35"/>
    <w:rsid w:val="4B9875A5"/>
    <w:rsid w:val="4FA709C3"/>
    <w:rsid w:val="57F6257F"/>
    <w:rsid w:val="58C91D70"/>
    <w:rsid w:val="5A226E18"/>
    <w:rsid w:val="5A673229"/>
    <w:rsid w:val="5A6A2FC4"/>
    <w:rsid w:val="5D93404C"/>
    <w:rsid w:val="614B5317"/>
    <w:rsid w:val="67696832"/>
    <w:rsid w:val="6AD40467"/>
    <w:rsid w:val="6E7F4B8D"/>
    <w:rsid w:val="70FC0DAC"/>
    <w:rsid w:val="71407606"/>
    <w:rsid w:val="731E3A64"/>
    <w:rsid w:val="75D0200F"/>
    <w:rsid w:val="78C4652A"/>
    <w:rsid w:val="793B5B55"/>
    <w:rsid w:val="794B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538</Words>
  <Characters>664</Characters>
  <Lines>27</Lines>
  <Paragraphs>7</Paragraphs>
  <TotalTime>0</TotalTime>
  <ScaleCrop>false</ScaleCrop>
  <LinksUpToDate>false</LinksUpToDate>
  <CharactersWithSpaces>685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2025-07-09T05:44:33Z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