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CD6C3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4462D9EE">
      <w:pPr>
        <w:jc w:val="center"/>
        <w:rPr>
          <w:rFonts w:eastAsia="楷体"/>
          <w:b/>
          <w:sz w:val="52"/>
          <w:szCs w:val="52"/>
        </w:rPr>
      </w:pPr>
    </w:p>
    <w:p w14:paraId="345297DB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765EA522">
      <w:pPr>
        <w:jc w:val="center"/>
        <w:rPr>
          <w:rFonts w:eastAsia="楷体"/>
          <w:sz w:val="52"/>
          <w:szCs w:val="52"/>
        </w:rPr>
      </w:pPr>
    </w:p>
    <w:p w14:paraId="77E5AE03">
      <w:pPr>
        <w:jc w:val="center"/>
        <w:rPr>
          <w:rFonts w:eastAsia="楷体"/>
          <w:sz w:val="28"/>
          <w:szCs w:val="28"/>
        </w:rPr>
      </w:pPr>
    </w:p>
    <w:p w14:paraId="4C1CBE12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eastAsia="zh-CN"/>
        </w:rPr>
        <w:t>甲苯胺蓝</w:t>
      </w:r>
      <w:r>
        <w:rPr>
          <w:rFonts w:hint="eastAsia" w:eastAsia="楷体"/>
          <w:sz w:val="28"/>
          <w:szCs w:val="28"/>
          <w:lang w:val="en-US" w:eastAsia="zh-CN"/>
        </w:rPr>
        <w:t>染色</w:t>
      </w:r>
    </w:p>
    <w:p w14:paraId="5FF3135E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  <w:bookmarkStart w:id="0" w:name="_GoBack"/>
      <w:bookmarkEnd w:id="0"/>
    </w:p>
    <w:p w14:paraId="7CAF3F63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586B1D57">
      <w:pPr>
        <w:rPr>
          <w:rFonts w:eastAsia="楷体"/>
          <w:sz w:val="28"/>
          <w:szCs w:val="28"/>
        </w:rPr>
      </w:pPr>
    </w:p>
    <w:p w14:paraId="78703583">
      <w:pPr>
        <w:rPr>
          <w:rFonts w:eastAsia="楷体"/>
          <w:sz w:val="28"/>
          <w:szCs w:val="28"/>
        </w:rPr>
      </w:pPr>
    </w:p>
    <w:p w14:paraId="04820ADC">
      <w:pPr>
        <w:rPr>
          <w:rFonts w:eastAsia="楷体"/>
          <w:sz w:val="28"/>
          <w:szCs w:val="28"/>
        </w:rPr>
      </w:pPr>
    </w:p>
    <w:p w14:paraId="2C347006">
      <w:pPr>
        <w:rPr>
          <w:rFonts w:eastAsia="楷体"/>
          <w:sz w:val="28"/>
          <w:szCs w:val="28"/>
        </w:rPr>
      </w:pPr>
    </w:p>
    <w:p w14:paraId="2564B27A">
      <w:pPr>
        <w:rPr>
          <w:rFonts w:eastAsia="楷体"/>
          <w:sz w:val="28"/>
          <w:szCs w:val="28"/>
        </w:rPr>
      </w:pPr>
    </w:p>
    <w:p w14:paraId="5C1E7F97">
      <w:pPr>
        <w:spacing w:line="360" w:lineRule="auto"/>
        <w:rPr>
          <w:rFonts w:eastAsia="楷体"/>
          <w:sz w:val="28"/>
          <w:szCs w:val="28"/>
        </w:rPr>
      </w:pPr>
    </w:p>
    <w:p w14:paraId="53DB2242">
      <w:pPr>
        <w:spacing w:line="360" w:lineRule="auto"/>
        <w:rPr>
          <w:rFonts w:eastAsia="楷体"/>
          <w:sz w:val="28"/>
          <w:szCs w:val="28"/>
        </w:rPr>
      </w:pPr>
    </w:p>
    <w:p w14:paraId="449347CE">
      <w:pPr>
        <w:spacing w:line="360" w:lineRule="auto"/>
        <w:rPr>
          <w:rFonts w:eastAsia="楷体"/>
          <w:sz w:val="28"/>
          <w:szCs w:val="28"/>
        </w:rPr>
      </w:pPr>
    </w:p>
    <w:p w14:paraId="4F769145">
      <w:pPr>
        <w:spacing w:line="360" w:lineRule="auto"/>
        <w:rPr>
          <w:rFonts w:eastAsia="楷体"/>
          <w:sz w:val="28"/>
          <w:szCs w:val="28"/>
        </w:rPr>
      </w:pPr>
    </w:p>
    <w:p w14:paraId="7518188B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</w:t>
      </w:r>
      <w:r>
        <w:rPr>
          <w:rFonts w:hint="eastAsia" w:eastAsia="楷体"/>
          <w:sz w:val="28"/>
          <w:szCs w:val="28"/>
          <w:lang w:val="en-US" w:eastAsia="zh-CN"/>
        </w:rPr>
        <w:t>:岳彩文</w:t>
      </w:r>
    </w:p>
    <w:p w14:paraId="4909333F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5-11-25</w:t>
      </w:r>
    </w:p>
    <w:p w14:paraId="6D902E34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60791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4275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77668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67132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64650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58501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p w14:paraId="332F2BD2">
                                  <w:pPr>
                                    <w:spacing w:before="0" w:beforeLines="0" w:after="0" w:afterLines="0" w:line="240" w:lineRule="auto"/>
                                    <w:ind w:left="0" w:leftChars="0" w:right="0" w:rightChars="0" w:firstLine="0" w:firstLineChars="0"/>
                                    <w:jc w:val="center"/>
                                    <w:rPr>
                                      <w:rFonts w:hint="eastAsia" w:ascii="楷体" w:hAnsi="楷体" w:eastAsia="楷体" w:cs="楷体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 w:val="52"/>
                                      <w:szCs w:val="52"/>
                                    </w:rPr>
                                    <w:t>目录</w:t>
                                  </w:r>
                                </w:p>
                                <w:p w14:paraId="705B01CD">
                                  <w:pPr>
                                    <w:pStyle w:val="12"/>
                                    <w:tabs>
                                      <w:tab w:val="right" w:leader="dot" w:pos="8306"/>
                                    </w:tabs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TOC \o "1-1" \h \u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HYPERLINK \l _Toc6932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一、实验步骤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PAGEREF _Toc6932 \h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  <w:p w14:paraId="3D9DD2C6">
                                  <w:pPr>
                                    <w:pStyle w:val="12"/>
                                    <w:tabs>
                                      <w:tab w:val="right" w:leader="dot" w:pos="8306"/>
                                    </w:tabs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HYPERLINK \l _Toc13826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>二、实验主要试剂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PAGEREF _Toc13826 \h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  <w:p w14:paraId="484B94AC">
                                  <w:pPr>
                                    <w:pStyle w:val="12"/>
                                    <w:tabs>
                                      <w:tab w:val="right" w:leader="dot" w:pos="8306"/>
                                    </w:tabs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HYPERLINK \l _Toc18965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>三、实验器材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  <w:p w14:paraId="71111E23">
                                  <w:pPr>
                                    <w:pStyle w:val="12"/>
                                    <w:tabs>
                                      <w:tab w:val="right" w:leader="dot" w:pos="8306"/>
                                    </w:tabs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HYPERLINK \l _Toc32314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四、结果判读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PAGEREF _Toc32314 \h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  <w:p w14:paraId="612121E2">
                                  <w:pPr>
                                    <w:pStyle w:val="12"/>
                                    <w:tabs>
                                      <w:tab w:val="right" w:leader="dot" w:pos="8306"/>
                                    </w:tabs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instrText xml:space="preserve"> HYPERLINK \l _Toc29663 </w:instrTex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五、注意事项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  <w:p w14:paraId="6B3A3765">
                                  <w:p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6B671A53">
                              <w:pPr>
                                <w:bidi w:val="0"/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</w:p>
                            <w:p w14:paraId="2DF889E2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66362A50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42AF1772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358B4782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30450274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74819E5E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6C2541AC">
                              <w:pPr>
                                <w:bidi w:val="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 w14:paraId="50112324">
                              <w:pPr>
                                <w:tabs>
                                  <w:tab w:val="left" w:pos="4806"/>
                                </w:tabs>
                                <w:bidi w:val="0"/>
                                <w:jc w:val="left"/>
                                <w:rPr>
                                  <w:rFonts w:hint="eastAsia"/>
                                  <w:lang w:val="en-US" w:eastAsia="zh-CN"/>
                                </w:rPr>
                                <w:sectPr>
                                  <w:pgSz w:w="11906" w:h="16838"/>
                                  <w:pgMar w:top="1440" w:right="1800" w:bottom="1440" w:left="1800" w:header="851" w:footer="992" w:gutter="0"/>
                                  <w:cols w:space="425" w:num="1"/>
                                  <w:docGrid w:type="lines" w:linePitch="312" w:charSpace="0"/>
                                </w:sect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ab/>
                              </w:r>
                            </w:p>
                            <w:p w14:paraId="3FDE2A42"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实验步骤</w:t>
                              </w:r>
                            </w:p>
                            <w:p w14:paraId="63374375"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切片常规脱蜡至水,蒸馏水洗干净。</w:t>
                              </w:r>
                            </w:p>
                            <w:p w14:paraId="12DD02BD"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切片入甲苯胺蓝染色液浸染30min。</w:t>
                              </w:r>
                            </w:p>
                            <w:p w14:paraId="13E42FF8"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蒸馏水洗2min，滤纸吸干水分。</w:t>
                              </w:r>
                            </w:p>
                            <w:p w14:paraId="60B82561"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（可选）用0.5%冰乙酸分化，直到细胞核和颗粒清晰可见。</w:t>
                              </w:r>
                            </w:p>
                            <w:p w14:paraId="712F5AA6"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逐级乙醇脱水，二甲苯透明。</w:t>
                              </w:r>
                            </w:p>
                            <w:p w14:paraId="1B4F1DF6"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中性树胶封片，显微镜观察结果。</w:t>
                              </w:r>
                            </w:p>
                            <w:p w14:paraId="3547B494">
                              <w:pPr>
                                <w:spacing w:before="312" w:beforeLines="100" w:after="312" w:afterLines="100" w:line="380" w:lineRule="exact"/>
                                <w:rPr>
                                  <w:rFonts w:hint="eastAsia" w:ascii="楷体" w:hAnsi="楷体" w:eastAsia="楷体" w:cs="楷体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sz w:val="28"/>
                                  <w:szCs w:val="28"/>
                                </w:rPr>
                                <w:t>二、实验主要试剂</w:t>
                              </w:r>
                            </w:p>
                            <w:tbl>
                              <w:tblPr>
                                <w:tblStyle w:val="8"/>
                                <w:tblW w:w="8287" w:type="dxa"/>
                                <w:tblInd w:w="189" w:type="dxa"/>
                                <w:tblBorders>
                                  <w:top w:val="single" w:color="auto" w:sz="12" w:space="0"/>
                                  <w:left w:val="none" w:color="auto" w:sz="0" w:space="0"/>
                                  <w:bottom w:val="single" w:color="auto" w:sz="12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2677"/>
                                <w:gridCol w:w="2760"/>
                                <w:gridCol w:w="2850"/>
                              </w:tblGrid>
                              <w:tr w14:paraId="2FA68343">
                                <w:tblPrEx>
                                  <w:tblBorders>
                                    <w:top w:val="single" w:color="auto" w:sz="12" w:space="0"/>
                                    <w:left w:val="none" w:color="auto" w:sz="0" w:space="0"/>
                                    <w:bottom w:val="single" w:color="auto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05" w:hRule="atLeast"/>
                                </w:trPr>
                                <w:tc>
                                  <w:tcPr>
                                    <w:tcW w:w="2677" w:type="dxa"/>
                                    <w:tcBorders>
                                      <w:top w:val="single" w:color="auto" w:sz="12" w:space="0"/>
                                      <w:bottom w:val="single" w:color="auto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08CF4EB3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  <w:t>试剂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tcBorders>
                                      <w:top w:val="single" w:color="auto" w:sz="12" w:space="0"/>
                                      <w:bottom w:val="single" w:color="auto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53268F37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  <w:t>厂家</w:t>
                                    </w:r>
                                  </w:p>
                                </w:tc>
                                <w:tc>
                                  <w:tcPr>
                                    <w:tcW w:w="2850" w:type="dxa"/>
                                    <w:tcBorders>
                                      <w:top w:val="single" w:color="auto" w:sz="12" w:space="0"/>
                                      <w:bottom w:val="single" w:color="auto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01E097B0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  <w:t>货号</w:t>
                                    </w:r>
                                  </w:p>
                                </w:tc>
                              </w:tr>
                              <w:tr w14:paraId="69DF2783">
                                <w:tblPrEx>
                                  <w:tblBorders>
                                    <w:top w:val="single" w:color="auto" w:sz="12" w:space="0"/>
                                    <w:left w:val="none" w:color="auto" w:sz="0" w:space="0"/>
                                    <w:bottom w:val="single" w:color="auto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30" w:hRule="atLeast"/>
                                </w:trPr>
                                <w:tc>
                                  <w:tcPr>
                                    <w:tcW w:w="2677" w:type="dxa"/>
                                    <w:noWrap w:val="0"/>
                                    <w:vAlign w:val="top"/>
                                  </w:tcPr>
                                  <w:p w14:paraId="310CECCF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二甲苯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3BEC5BEC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天津市凯通化学</w:t>
                                    </w:r>
                                  </w:p>
                                </w:tc>
                                <w:tc>
                                  <w:tcPr>
                                    <w:tcW w:w="2850" w:type="dxa"/>
                                    <w:noWrap w:val="0"/>
                                    <w:vAlign w:val="top"/>
                                  </w:tcPr>
                                  <w:p w14:paraId="3AABF2E9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无</w:t>
                                    </w:r>
                                  </w:p>
                                </w:tc>
                              </w:tr>
                              <w:tr w14:paraId="6DBDF284">
                                <w:tblPrEx>
                                  <w:tblBorders>
                                    <w:top w:val="single" w:color="auto" w:sz="12" w:space="0"/>
                                    <w:left w:val="none" w:color="auto" w:sz="0" w:space="0"/>
                                    <w:bottom w:val="single" w:color="auto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30" w:hRule="atLeast"/>
                                </w:trPr>
                                <w:tc>
                                  <w:tcPr>
                                    <w:tcW w:w="2677" w:type="dxa"/>
                                    <w:noWrap w:val="0"/>
                                    <w:vAlign w:val="top"/>
                                  </w:tcPr>
                                  <w:p w14:paraId="058F8366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无水乙醇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66FFC6CE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上海广诺化学</w:t>
                                    </w:r>
                                  </w:p>
                                </w:tc>
                                <w:tc>
                                  <w:tcPr>
                                    <w:tcW w:w="2850" w:type="dxa"/>
                                    <w:noWrap w:val="0"/>
                                    <w:vAlign w:val="top"/>
                                  </w:tcPr>
                                  <w:p w14:paraId="45D6402D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无</w:t>
                                    </w:r>
                                  </w:p>
                                </w:tc>
                              </w:tr>
                              <w:tr w14:paraId="30C3E70D">
                                <w:tblPrEx>
                                  <w:tblBorders>
                                    <w:top w:val="single" w:color="auto" w:sz="12" w:space="0"/>
                                    <w:left w:val="none" w:color="auto" w:sz="0" w:space="0"/>
                                    <w:bottom w:val="single" w:color="auto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30" w:hRule="atLeast"/>
                                </w:trPr>
                                <w:tc>
                                  <w:tcPr>
                                    <w:tcW w:w="2677" w:type="dxa"/>
                                    <w:noWrap w:val="0"/>
                                    <w:vAlign w:val="top"/>
                                  </w:tcPr>
                                  <w:p w14:paraId="3CD746AB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甲苯胺蓝染色液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32654BB5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</w:rPr>
                                      <w:t>ebiogo</w:t>
                                    </w:r>
                                  </w:p>
                                </w:tc>
                                <w:tc>
                                  <w:tcPr>
                                    <w:tcW w:w="2850" w:type="dxa"/>
                                    <w:noWrap w:val="0"/>
                                    <w:vAlign w:val="top"/>
                                  </w:tcPr>
                                  <w:p w14:paraId="4B8996F0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B032</w:t>
                                    </w:r>
                                  </w:p>
                                </w:tc>
                              </w:tr>
                              <w:tr w14:paraId="71D47558">
                                <w:tblPrEx>
                                  <w:tblBorders>
                                    <w:top w:val="single" w:color="auto" w:sz="12" w:space="0"/>
                                    <w:left w:val="none" w:color="auto" w:sz="0" w:space="0"/>
                                    <w:bottom w:val="single" w:color="auto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15" w:hRule="atLeast"/>
                                </w:trPr>
                                <w:tc>
                                  <w:tcPr>
                                    <w:tcW w:w="2677" w:type="dxa"/>
                                    <w:noWrap w:val="0"/>
                                    <w:vAlign w:val="top"/>
                                  </w:tcPr>
                                  <w:p w14:paraId="54AC6968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中性树胶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010453F3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无锡江原</w:t>
                                    </w:r>
                                  </w:p>
                                </w:tc>
                                <w:tc>
                                  <w:tcPr>
                                    <w:tcW w:w="2850" w:type="dxa"/>
                                    <w:noWrap w:val="0"/>
                                    <w:vAlign w:val="top"/>
                                  </w:tcPr>
                                  <w:p w14:paraId="25167397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ZLI-9516</w:t>
                                    </w:r>
                                  </w:p>
                                </w:tc>
                              </w:tr>
                            </w:tbl>
                            <w:p w14:paraId="4B2723D8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</w:p>
                            <w:p w14:paraId="659E0352">
                              <w:pPr>
                                <w:spacing w:after="156" w:afterLines="50" w:line="380" w:lineRule="exact"/>
                                <w:rPr>
                                  <w:rFonts w:hint="eastAsia" w:ascii="楷体" w:hAnsi="楷体" w:eastAsia="楷体" w:cs="楷体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sz w:val="28"/>
                                  <w:szCs w:val="28"/>
                                </w:rPr>
                                <w:t>三、实验器材</w:t>
                              </w:r>
                            </w:p>
                            <w:tbl>
                              <w:tblPr>
                                <w:tblStyle w:val="8"/>
                                <w:tblpPr w:leftFromText="180" w:rightFromText="180" w:vertAnchor="text" w:horzAnchor="page" w:tblpX="1960" w:tblpY="205"/>
                                <w:tblOverlap w:val="never"/>
                                <w:tblW w:w="8332" w:type="dxa"/>
                                <w:tblInd w:w="0" w:type="dxa"/>
                                <w:tblBorders>
                                  <w:top w:val="single" w:color="000000" w:sz="12" w:space="0"/>
                                  <w:left w:val="none" w:color="auto" w:sz="0" w:space="0"/>
                                  <w:bottom w:val="single" w:color="000000" w:sz="12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2872"/>
                                <w:gridCol w:w="2700"/>
                                <w:gridCol w:w="2760"/>
                              </w:tblGrid>
                              <w:tr w14:paraId="66761AE6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68" w:hRule="atLeast"/>
                                </w:trPr>
                                <w:tc>
                                  <w:tcPr>
                                    <w:tcW w:w="2872" w:type="dxa"/>
                                    <w:tcBorders>
                                      <w:top w:val="single" w:color="000000" w:sz="12" w:space="0"/>
                                      <w:bottom w:val="single" w:color="000000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7744EA9A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</w:rPr>
                                      <w:t>名称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tcBorders>
                                      <w:top w:val="single" w:color="000000" w:sz="12" w:space="0"/>
                                      <w:bottom w:val="single" w:color="000000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06991F89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厂家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tcBorders>
                                      <w:top w:val="single" w:color="000000" w:sz="12" w:space="0"/>
                                      <w:bottom w:val="single" w:color="000000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5FBD6E1D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型号</w:t>
                                    </w:r>
                                  </w:p>
                                </w:tc>
                              </w:tr>
                              <w:tr w14:paraId="7C15466B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39" w:hRule="atLeast"/>
                                </w:trPr>
                                <w:tc>
                                  <w:tcPr>
                                    <w:tcW w:w="2872" w:type="dxa"/>
                                    <w:tcBorders>
                                      <w:top w:val="single" w:color="000000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7329DEB6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生物组织自动脱水机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tcBorders>
                                      <w:top w:val="single" w:color="000000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3CDA0F61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湖北亚光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tcBorders>
                                      <w:top w:val="single" w:color="000000" w:sz="12" w:space="0"/>
                                    </w:tcBorders>
                                    <w:noWrap w:val="0"/>
                                    <w:vAlign w:val="top"/>
                                  </w:tcPr>
                                  <w:p w14:paraId="1FDA5191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ZT-12M</w:t>
                                    </w:r>
                                  </w:p>
                                </w:tc>
                              </w:tr>
                              <w:tr w14:paraId="4E333458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19" w:hRule="atLeast"/>
                                </w:trPr>
                                <w:tc>
                                  <w:tcPr>
                                    <w:tcW w:w="2872" w:type="dxa"/>
                                    <w:noWrap w:val="0"/>
                                    <w:vAlign w:val="top"/>
                                  </w:tcPr>
                                  <w:p w14:paraId="5FA401F8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生物组织包埋机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 w:val="0"/>
                                    <w:vAlign w:val="top"/>
                                  </w:tcPr>
                                  <w:p w14:paraId="78E09460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湖北亚光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6FB2E633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YB-7LF</w:t>
                                    </w:r>
                                  </w:p>
                                </w:tc>
                              </w:tr>
                              <w:tr w14:paraId="3EDE34CD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19" w:hRule="atLeast"/>
                                </w:trPr>
                                <w:tc>
                                  <w:tcPr>
                                    <w:tcW w:w="2872" w:type="dxa"/>
                                    <w:noWrap w:val="0"/>
                                    <w:vAlign w:val="top"/>
                                  </w:tcPr>
                                  <w:p w14:paraId="7A484E8A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徕卡切片机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 w:val="0"/>
                                    <w:vAlign w:val="top"/>
                                  </w:tcPr>
                                  <w:p w14:paraId="26254082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Leica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2A0C03CF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  <w:t>RM2016</w:t>
                                    </w:r>
                                  </w:p>
                                </w:tc>
                              </w:tr>
                              <w:tr w14:paraId="660283DD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19" w:hRule="atLeast"/>
                                </w:trPr>
                                <w:tc>
                                  <w:tcPr>
                                    <w:tcW w:w="2872" w:type="dxa"/>
                                    <w:noWrap w:val="0"/>
                                    <w:vAlign w:val="top"/>
                                  </w:tcPr>
                                  <w:p w14:paraId="04C32C52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切片刀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 w:val="0"/>
                                    <w:vAlign w:val="top"/>
                                  </w:tcPr>
                                  <w:p w14:paraId="2E7663D5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Leica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740EB87A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Leica 819</w:t>
                                    </w:r>
                                  </w:p>
                                </w:tc>
                              </w:tr>
                              <w:tr w14:paraId="0C715EC0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19" w:hRule="atLeast"/>
                                </w:trPr>
                                <w:tc>
                                  <w:tcPr>
                                    <w:tcW w:w="2872" w:type="dxa"/>
                                    <w:noWrap w:val="0"/>
                                    <w:vAlign w:val="top"/>
                                  </w:tcPr>
                                  <w:p w14:paraId="221006F4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 w:val="0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隔水式恒温培养箱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 w:val="0"/>
                                    <w:vAlign w:val="top"/>
                                  </w:tcPr>
                                  <w:p w14:paraId="519100F3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上海三发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7F803B56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GNP-9080</w:t>
                                    </w:r>
                                  </w:p>
                                </w:tc>
                              </w:tr>
                              <w:tr w14:paraId="66418496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87" w:hRule="atLeast"/>
                                </w:trPr>
                                <w:tc>
                                  <w:tcPr>
                                    <w:tcW w:w="2872" w:type="dxa"/>
                                    <w:noWrap w:val="0"/>
                                    <w:vAlign w:val="top"/>
                                  </w:tcPr>
                                  <w:p w14:paraId="309EDE3C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粘附载玻片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 w:val="0"/>
                                    <w:vAlign w:val="top"/>
                                  </w:tcPr>
                                  <w:p w14:paraId="267787BC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  <w:t>ebiogo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13F4C2E4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  <w:t>B004</w:t>
                                    </w:r>
                                  </w:p>
                                </w:tc>
                              </w:tr>
                              <w:tr w14:paraId="5227862F">
                                <w:tblPrEx>
                                  <w:tblBorders>
                                    <w:top w:val="single" w:color="000000" w:sz="12" w:space="0"/>
                                    <w:left w:val="none" w:color="auto" w:sz="0" w:space="0"/>
                                    <w:bottom w:val="single" w:color="000000" w:sz="12" w:space="0"/>
                                    <w:right w:val="none" w:color="auto" w:sz="0" w:space="0"/>
                                    <w:insideH w:val="none" w:color="auto" w:sz="0" w:space="0"/>
                                    <w:insideV w:val="none" w:color="auto" w:sz="0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19" w:hRule="atLeast"/>
                                </w:trPr>
                                <w:tc>
                                  <w:tcPr>
                                    <w:tcW w:w="2872" w:type="dxa"/>
                                    <w:noWrap w:val="0"/>
                                    <w:vAlign w:val="top"/>
                                  </w:tcPr>
                                  <w:p w14:paraId="41BF573A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sz w:val="28"/>
                                        <w:szCs w:val="28"/>
                                      </w:rPr>
                                      <w:t>显微镜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 w:val="0"/>
                                    <w:vAlign w:val="top"/>
                                  </w:tcPr>
                                  <w:p w14:paraId="48D51BFC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  <w:t>OLYMPUS</w:t>
                                    </w:r>
                                  </w:p>
                                </w:tc>
                                <w:tc>
                                  <w:tcPr>
                                    <w:tcW w:w="2760" w:type="dxa"/>
                                    <w:noWrap w:val="0"/>
                                    <w:vAlign w:val="top"/>
                                  </w:tcPr>
                                  <w:p w14:paraId="54BEA910">
                                    <w:pPr>
                                      <w:spacing w:line="380" w:lineRule="exact"/>
                                      <w:jc w:val="center"/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Cs/>
                                        <w:sz w:val="28"/>
                                        <w:szCs w:val="28"/>
                                      </w:rPr>
                                      <w:t>CX41</w:t>
                                    </w:r>
                                  </w:p>
                                </w:tc>
                              </w:tr>
                            </w:tbl>
                            <w:p w14:paraId="154EF7B1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</w:p>
                            <w:p w14:paraId="78C62BFB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</w:p>
                            <w:p w14:paraId="4A04532C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四、结果判读</w:t>
                              </w:r>
                            </w:p>
                            <w:p w14:paraId="082E7F06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软骨、成骨细胞、肥大细胞呈紫红色，细胞核为蓝色，背景为淡蓝色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。</w:t>
                              </w:r>
                            </w:p>
                            <w:p w14:paraId="440A1637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left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drawing>
                                  <wp:inline distT="0" distB="0" distL="114300" distR="114300">
                                    <wp:extent cx="5266690" cy="2834640"/>
                                    <wp:effectExtent l="0" t="0" r="10160" b="3810"/>
                                    <wp:docPr id="2" name="图片 2" descr="甲苯胺蓝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图片 2" descr="甲苯胺蓝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266690" cy="2834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0C62E2A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center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示例图</w:t>
                              </w:r>
                            </w:p>
                            <w:p w14:paraId="1FD679B6">
                              <w:pPr>
                                <w:numPr>
                                  <w:ilvl w:val="0"/>
                                  <w:numId w:val="0"/>
                                </w:numPr>
                                <w:jc w:val="both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五、注意事项</w:t>
                              </w:r>
                            </w:p>
                            <w:p w14:paraId="1DBAF511">
                              <w:pPr>
                                <w:keepNext w:val="0"/>
                                <w:keepLines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jc w:val="left"/>
                                <w:rPr>
                                  <w:rFonts w:hint="eastAsia" w:ascii="楷体" w:hAnsi="楷体" w:eastAsia="楷体" w:cs="楷体"/>
                                  <w:color w:val="151515"/>
                                  <w:kern w:val="0"/>
                                  <w:sz w:val="28"/>
                                  <w:szCs w:val="2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151515"/>
                                  <w:kern w:val="0"/>
                                  <w:sz w:val="28"/>
                                  <w:szCs w:val="28"/>
                                  <w:lang w:val="en-US" w:eastAsia="zh-CN" w:bidi="ar"/>
                                </w:rPr>
                                <w:t>1.第一次使用本试剂时建议先取1-2个样品做预实验。</w:t>
                              </w:r>
                            </w:p>
                            <w:p w14:paraId="6E955C78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eastAsia" w:ascii="楷体" w:hAnsi="楷体" w:eastAsia="楷体" w:cs="楷体"/>
                                  <w:color w:val="151515"/>
                                  <w:kern w:val="0"/>
                                  <w:sz w:val="28"/>
                                  <w:szCs w:val="2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151515"/>
                                  <w:kern w:val="0"/>
                                  <w:sz w:val="28"/>
                                  <w:szCs w:val="28"/>
                                  <w:lang w:val="en-US" w:eastAsia="zh-CN" w:bidi="ar"/>
                                </w:rPr>
                                <w:t>2.针对于胃粘膜组织、软骨组织等较难着色组织的染色，甲苯胺蓝染色时间应相应延长。</w:t>
                              </w:r>
                            </w:p>
                            <w:p w14:paraId="589F85A4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3.对于软骨组织染色，也可用丙酮分化，直至软骨细胞呈紫蓝色清楚可见。</w:t>
                              </w:r>
                            </w:p>
                            <w:p w14:paraId="455032EB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default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 w:val="0"/>
                                  <w:bCs w:val="0"/>
                                  <w:sz w:val="28"/>
                                  <w:szCs w:val="28"/>
                                  <w:lang w:val="en-US" w:eastAsia="zh-CN"/>
                                </w:rPr>
                                <w:t>4.对于细胞爬片，固定后直接入甲苯胺蓝染色液浸染。</w:t>
                              </w:r>
                            </w:p>
                            <w:p w14:paraId="2570A808">
                              <w:pPr>
                                <w:keepNext w:val="0"/>
                                <w:keepLines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jc w:val="left"/>
                                <w:rPr>
                                  <w:rFonts w:hint="eastAsia" w:ascii="楷体" w:hAnsi="楷体" w:eastAsia="楷体" w:cs="楷体"/>
                                  <w:color w:val="151515"/>
                                  <w:kern w:val="0"/>
                                  <w:sz w:val="28"/>
                                  <w:szCs w:val="28"/>
                                  <w:lang w:val="en-US" w:eastAsia="zh-CN" w:bidi="ar"/>
                                </w:rPr>
                              </w:pPr>
                            </w:p>
                            <w:p w14:paraId="2D3B755E">
                              <w:pPr>
                                <w:tabs>
                                  <w:tab w:val="left" w:pos="5301"/>
                                </w:tabs>
                                <w:bidi w:val="0"/>
                                <w:jc w:val="left"/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pP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2D58EEE0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23D78F6F">
      <w:pPr>
        <w:bidi w:val="0"/>
        <w:rPr>
          <w:rFonts w:hint="eastAsia"/>
          <w:lang w:val="en-US" w:eastAsia="zh-CN"/>
        </w:rPr>
      </w:pPr>
    </w:p>
    <w:p w14:paraId="106B7EE2">
      <w:pPr>
        <w:bidi w:val="0"/>
        <w:rPr>
          <w:rFonts w:hint="eastAsia"/>
          <w:lang w:val="en-US" w:eastAsia="zh-CN"/>
        </w:rPr>
      </w:pPr>
    </w:p>
    <w:p w14:paraId="3E2C2EF0">
      <w:pPr>
        <w:tabs>
          <w:tab w:val="left" w:pos="522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08733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782BB72C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1B685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A755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2ED22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80FA714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13980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39CD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FhM2FmNTJmYmJmNDZiMTlhMDI4NjFkYTA1MjNiOWE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34F0512"/>
    <w:rsid w:val="06F061D0"/>
    <w:rsid w:val="0A5B7E05"/>
    <w:rsid w:val="0BFC73C5"/>
    <w:rsid w:val="0C3E79DE"/>
    <w:rsid w:val="11C961EA"/>
    <w:rsid w:val="1611159F"/>
    <w:rsid w:val="16223ECC"/>
    <w:rsid w:val="17E05DED"/>
    <w:rsid w:val="18CE4415"/>
    <w:rsid w:val="1B1B7062"/>
    <w:rsid w:val="1DB80792"/>
    <w:rsid w:val="214014EE"/>
    <w:rsid w:val="2503311B"/>
    <w:rsid w:val="2802590C"/>
    <w:rsid w:val="2D424EB5"/>
    <w:rsid w:val="30BC3E94"/>
    <w:rsid w:val="32904240"/>
    <w:rsid w:val="33D75E9F"/>
    <w:rsid w:val="374675C3"/>
    <w:rsid w:val="3A033549"/>
    <w:rsid w:val="3BF515B8"/>
    <w:rsid w:val="3DC943BB"/>
    <w:rsid w:val="440700DA"/>
    <w:rsid w:val="49E854BF"/>
    <w:rsid w:val="4CB31A29"/>
    <w:rsid w:val="4CE460AC"/>
    <w:rsid w:val="4DCF5042"/>
    <w:rsid w:val="4FA709C3"/>
    <w:rsid w:val="55515659"/>
    <w:rsid w:val="57F6257F"/>
    <w:rsid w:val="58E862D4"/>
    <w:rsid w:val="5A5B561B"/>
    <w:rsid w:val="5A6A2FC4"/>
    <w:rsid w:val="620C1765"/>
    <w:rsid w:val="67696832"/>
    <w:rsid w:val="6AD40467"/>
    <w:rsid w:val="6C661592"/>
    <w:rsid w:val="6D9A2F35"/>
    <w:rsid w:val="6E7F4B8D"/>
    <w:rsid w:val="71407606"/>
    <w:rsid w:val="72D03C09"/>
    <w:rsid w:val="731E3A64"/>
    <w:rsid w:val="75D0200F"/>
    <w:rsid w:val="762F00D5"/>
    <w:rsid w:val="76AA50D9"/>
    <w:rsid w:val="793B5B55"/>
    <w:rsid w:val="794B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507</Words>
  <Characters>600</Characters>
  <Lines>27</Lines>
  <Paragraphs>7</Paragraphs>
  <TotalTime>2</TotalTime>
  <ScaleCrop>false</ScaleCrop>
  <LinksUpToDate>false</LinksUpToDate>
  <CharactersWithSpaces>620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2025-11-25T08:49:06Z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