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F7AE">
      <w:pPr>
        <w:jc w:val="center"/>
        <w:rPr>
          <w:rFonts w:eastAsia="楷体"/>
          <w:b/>
          <w:sz w:val="52"/>
          <w:szCs w:val="52"/>
        </w:rPr>
      </w:pPr>
      <w:r>
        <w:rPr>
          <w:rFonts w:eastAsia="楷体"/>
          <w:b/>
          <w:sz w:val="52"/>
          <w:szCs w:val="52"/>
        </w:rPr>
        <w:t>安徽</w:t>
      </w:r>
      <w:r>
        <w:rPr>
          <w:rFonts w:hint="eastAsia" w:eastAsia="楷体"/>
          <w:b/>
          <w:sz w:val="52"/>
          <w:szCs w:val="52"/>
        </w:rPr>
        <w:t>中抗</w:t>
      </w:r>
      <w:r>
        <w:rPr>
          <w:rFonts w:eastAsia="楷体"/>
          <w:b/>
          <w:sz w:val="52"/>
          <w:szCs w:val="52"/>
        </w:rPr>
        <w:t>生物</w:t>
      </w:r>
      <w:r>
        <w:rPr>
          <w:rFonts w:hint="eastAsia" w:eastAsia="楷体"/>
          <w:b/>
          <w:sz w:val="52"/>
          <w:szCs w:val="52"/>
        </w:rPr>
        <w:t>技术</w:t>
      </w:r>
      <w:r>
        <w:rPr>
          <w:rFonts w:eastAsia="楷体"/>
          <w:b/>
          <w:sz w:val="52"/>
          <w:szCs w:val="52"/>
        </w:rPr>
        <w:t>有限公司</w:t>
      </w:r>
    </w:p>
    <w:p w14:paraId="11C7B144">
      <w:pPr>
        <w:jc w:val="center"/>
        <w:rPr>
          <w:rFonts w:eastAsia="楷体"/>
          <w:b/>
          <w:sz w:val="52"/>
          <w:szCs w:val="52"/>
        </w:rPr>
      </w:pPr>
    </w:p>
    <w:p w14:paraId="082CE922">
      <w:pPr>
        <w:jc w:val="center"/>
        <w:rPr>
          <w:rFonts w:eastAsia="楷体"/>
          <w:sz w:val="52"/>
          <w:szCs w:val="52"/>
        </w:rPr>
      </w:pPr>
      <w:r>
        <w:rPr>
          <w:rFonts w:eastAsia="楷体"/>
          <w:b/>
          <w:sz w:val="52"/>
          <w:szCs w:val="52"/>
        </w:rPr>
        <w:t>实验报告</w:t>
      </w:r>
    </w:p>
    <w:p w14:paraId="511B562D">
      <w:pPr>
        <w:jc w:val="center"/>
        <w:rPr>
          <w:rFonts w:eastAsia="楷体"/>
          <w:sz w:val="52"/>
          <w:szCs w:val="52"/>
        </w:rPr>
      </w:pPr>
    </w:p>
    <w:p w14:paraId="546E6C4A">
      <w:pPr>
        <w:jc w:val="center"/>
        <w:rPr>
          <w:rFonts w:eastAsia="楷体"/>
          <w:sz w:val="28"/>
          <w:szCs w:val="28"/>
        </w:rPr>
      </w:pPr>
    </w:p>
    <w:p w14:paraId="478579B3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项目名称：</w:t>
      </w:r>
      <w:r>
        <w:rPr>
          <w:rFonts w:hint="eastAsia" w:eastAsia="楷体"/>
          <w:sz w:val="28"/>
          <w:szCs w:val="28"/>
          <w:lang w:val="en-US" w:eastAsia="zh-CN"/>
        </w:rPr>
        <w:t>刚果红染色</w:t>
      </w:r>
    </w:p>
    <w:p w14:paraId="10252265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委托方（甲方）：</w:t>
      </w:r>
    </w:p>
    <w:p w14:paraId="345FBAD0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受托方（乙方）：安徽</w:t>
      </w:r>
      <w:r>
        <w:rPr>
          <w:rFonts w:hint="eastAsia" w:eastAsia="楷体"/>
          <w:sz w:val="28"/>
          <w:szCs w:val="28"/>
        </w:rPr>
        <w:t>中抗</w:t>
      </w:r>
      <w:r>
        <w:rPr>
          <w:rFonts w:eastAsia="楷体"/>
          <w:sz w:val="28"/>
          <w:szCs w:val="28"/>
        </w:rPr>
        <w:t>生物</w:t>
      </w:r>
      <w:r>
        <w:rPr>
          <w:rFonts w:hint="eastAsia" w:eastAsia="楷体"/>
          <w:sz w:val="28"/>
          <w:szCs w:val="28"/>
        </w:rPr>
        <w:t>技术</w:t>
      </w:r>
      <w:r>
        <w:rPr>
          <w:rFonts w:eastAsia="楷体"/>
          <w:sz w:val="28"/>
          <w:szCs w:val="28"/>
        </w:rPr>
        <w:t>有限公司</w:t>
      </w:r>
    </w:p>
    <w:p w14:paraId="5644E874">
      <w:pPr>
        <w:rPr>
          <w:rFonts w:eastAsia="楷体"/>
          <w:sz w:val="28"/>
          <w:szCs w:val="28"/>
        </w:rPr>
      </w:pPr>
    </w:p>
    <w:p w14:paraId="5E38FE26">
      <w:pPr>
        <w:rPr>
          <w:rFonts w:eastAsia="楷体"/>
          <w:sz w:val="28"/>
          <w:szCs w:val="28"/>
        </w:rPr>
      </w:pPr>
    </w:p>
    <w:p w14:paraId="2BAB0610">
      <w:pPr>
        <w:rPr>
          <w:rFonts w:eastAsia="楷体"/>
          <w:sz w:val="28"/>
          <w:szCs w:val="28"/>
        </w:rPr>
      </w:pPr>
    </w:p>
    <w:p w14:paraId="4F82603A">
      <w:pPr>
        <w:rPr>
          <w:rFonts w:eastAsia="楷体"/>
          <w:sz w:val="28"/>
          <w:szCs w:val="28"/>
        </w:rPr>
      </w:pPr>
    </w:p>
    <w:p w14:paraId="398CC982">
      <w:pPr>
        <w:rPr>
          <w:rFonts w:eastAsia="楷体"/>
          <w:sz w:val="28"/>
          <w:szCs w:val="28"/>
        </w:rPr>
      </w:pPr>
    </w:p>
    <w:p w14:paraId="2023377C">
      <w:pPr>
        <w:spacing w:line="360" w:lineRule="auto"/>
        <w:rPr>
          <w:rFonts w:eastAsia="楷体"/>
          <w:sz w:val="28"/>
          <w:szCs w:val="28"/>
        </w:rPr>
      </w:pPr>
    </w:p>
    <w:p w14:paraId="05597793">
      <w:pPr>
        <w:spacing w:line="360" w:lineRule="auto"/>
        <w:rPr>
          <w:rFonts w:eastAsia="楷体"/>
          <w:sz w:val="28"/>
          <w:szCs w:val="28"/>
        </w:rPr>
      </w:pPr>
    </w:p>
    <w:p w14:paraId="43966ECB">
      <w:pPr>
        <w:spacing w:line="360" w:lineRule="auto"/>
        <w:rPr>
          <w:rFonts w:eastAsia="楷体"/>
          <w:sz w:val="28"/>
          <w:szCs w:val="28"/>
        </w:rPr>
      </w:pPr>
    </w:p>
    <w:p w14:paraId="6A136863">
      <w:pPr>
        <w:spacing w:line="360" w:lineRule="auto"/>
        <w:rPr>
          <w:rFonts w:eastAsia="楷体"/>
          <w:sz w:val="28"/>
          <w:szCs w:val="28"/>
        </w:rPr>
      </w:pPr>
    </w:p>
    <w:p w14:paraId="07C8731E">
      <w:pPr>
        <w:spacing w:line="360" w:lineRule="auto"/>
        <w:ind w:firstLine="5040" w:firstLineChars="1800"/>
        <w:jc w:val="center"/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检测人：</w:t>
      </w:r>
      <w:r>
        <w:rPr>
          <w:rFonts w:hint="eastAsia" w:eastAsia="楷体"/>
          <w:sz w:val="28"/>
          <w:szCs w:val="28"/>
          <w:lang w:val="en-US" w:eastAsia="zh-CN"/>
        </w:rPr>
        <w:t>岳彩文</w:t>
      </w:r>
    </w:p>
    <w:p w14:paraId="1C67035A">
      <w:pPr>
        <w:spacing w:line="360" w:lineRule="auto"/>
        <w:ind w:firstLine="5040" w:firstLineChars="1800"/>
        <w:jc w:val="center"/>
        <w:rPr>
          <w:rFonts w:hint="default"/>
          <w:lang w:val="en-US"/>
        </w:rPr>
      </w:pPr>
      <w:r>
        <w:rPr>
          <w:rFonts w:eastAsia="楷体"/>
          <w:sz w:val="28"/>
          <w:szCs w:val="28"/>
        </w:rPr>
        <w:t>报告撰写日期：202</w:t>
      </w:r>
      <w:r>
        <w:rPr>
          <w:rFonts w:hint="eastAsia" w:eastAsia="楷体"/>
          <w:sz w:val="28"/>
          <w:szCs w:val="28"/>
          <w:lang w:val="en-US" w:eastAsia="zh-CN"/>
        </w:rPr>
        <w:t>4-5-28</w:t>
      </w:r>
    </w:p>
    <w:sdt>
      <w:sdtPr>
        <w:rPr>
          <w:rFonts w:hint="eastAsia" w:ascii="楷体" w:hAnsi="楷体" w:eastAsia="楷体" w:cs="楷体"/>
          <w:kern w:val="2"/>
          <w:sz w:val="52"/>
          <w:szCs w:val="52"/>
          <w:lang w:val="en-US" w:eastAsia="zh-CN" w:bidi="ar-SA"/>
        </w:rPr>
        <w:id w:val="147470085"/>
        <w15:color w:val="DBDBDB"/>
        <w:docPartObj>
          <w:docPartGallery w:val="Table of Contents"/>
          <w:docPartUnique/>
        </w:docPartObj>
      </w:sdtPr>
      <w:sdtEndPr>
        <w:rPr>
          <w:rFonts w:hint="eastAsia" w:ascii="楷体" w:hAnsi="楷体" w:eastAsia="楷体" w:cs="楷体"/>
          <w:kern w:val="2"/>
          <w:sz w:val="21"/>
          <w:szCs w:val="28"/>
          <w:lang w:val="en-US" w:eastAsia="zh-CN" w:bidi="ar-SA"/>
        </w:rPr>
      </w:sdtEndPr>
      <w:sdtContent>
        <w:sdt>
          <w:sdtPr>
            <w:rPr>
              <w:rFonts w:hint="eastAsia" w:ascii="楷体" w:hAnsi="楷体" w:eastAsia="楷体" w:cs="楷体"/>
              <w:kern w:val="2"/>
              <w:sz w:val="52"/>
              <w:szCs w:val="52"/>
              <w:lang w:val="en-US" w:eastAsia="zh-CN" w:bidi="ar-SA"/>
            </w:rPr>
            <w:id w:val="147467867"/>
            <w15:color w:val="DBDBDB"/>
            <w:docPartObj>
              <w:docPartGallery w:val="Table of Contents"/>
              <w:docPartUnique/>
            </w:docPartObj>
          </w:sdtPr>
          <w:sdtEndPr>
            <w:rPr>
              <w:rFonts w:hint="eastAsia" w:ascii="楷体" w:hAnsi="楷体" w:eastAsia="楷体" w:cs="楷体"/>
              <w:kern w:val="2"/>
              <w:sz w:val="21"/>
              <w:szCs w:val="28"/>
              <w:lang w:val="en-US" w:eastAsia="zh-CN" w:bidi="ar-SA"/>
            </w:rPr>
          </w:sdtEndPr>
          <w:sdtContent>
            <w:sdt>
              <w:sdtPr>
                <w:rPr>
                  <w:rFonts w:hint="eastAsia" w:ascii="楷体" w:hAnsi="楷体" w:eastAsia="楷体" w:cs="楷体"/>
                  <w:kern w:val="2"/>
                  <w:sz w:val="52"/>
                  <w:szCs w:val="52"/>
                  <w:lang w:val="en-US" w:eastAsia="zh-CN" w:bidi="ar-SA"/>
                </w:rPr>
                <w:id w:val="147472139"/>
                <w15:color w:val="DBDBDB"/>
                <w:docPartObj>
                  <w:docPartGallery w:val="Table of Contents"/>
                  <w:docPartUnique/>
                </w:docPartObj>
              </w:sdtPr>
              <w:sdtEndPr>
                <w:rPr>
                  <w:rFonts w:hint="eastAsia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sdtEndPr>
              <w:sdtContent>
                <w:sdt>
                  <w:sdtPr>
                    <w:rPr>
                      <w:rFonts w:hint="eastAsia" w:ascii="楷体" w:hAnsi="楷体" w:eastAsia="楷体" w:cs="楷体"/>
                      <w:kern w:val="2"/>
                      <w:sz w:val="52"/>
                      <w:szCs w:val="52"/>
                      <w:lang w:val="en-US" w:eastAsia="zh-CN" w:bidi="ar-SA"/>
                    </w:rPr>
                    <w:id w:val="147457165"/>
                    <w15:color w:val="DBDBDB"/>
                    <w:docPartObj>
                      <w:docPartGallery w:val="Table of Contents"/>
                      <w:docPartUnique/>
                    </w:docPartObj>
                  </w:sdtPr>
                  <w:sdtEndPr>
                    <w:rPr>
                      <w:rFonts w:hint="eastAsia" w:ascii="Times New Roman" w:hAnsi="Times New Roman" w:eastAsia="宋体" w:cs="Times New Roman"/>
                      <w:kern w:val="2"/>
                      <w:sz w:val="21"/>
                      <w:szCs w:val="24"/>
                      <w:lang w:val="en-US" w:eastAsia="zh-CN" w:bidi="ar-SA"/>
                    </w:rPr>
                  </w:sdtEndPr>
                  <w:sdtContent>
                    <w:sdt>
                      <w:sdtPr>
                        <w:rPr>
                          <w:rFonts w:hint="eastAsia" w:ascii="楷体" w:hAnsi="楷体" w:eastAsia="楷体" w:cs="楷体"/>
                          <w:kern w:val="2"/>
                          <w:sz w:val="52"/>
                          <w:szCs w:val="52"/>
                          <w:lang w:val="en-US" w:eastAsia="zh-CN" w:bidi="ar-SA"/>
                        </w:rPr>
                        <w:id w:val="147458501"/>
                        <w15:color w:val="DBDBDB"/>
                        <w:docPartObj>
                          <w:docPartGallery w:val="Table of Contents"/>
                          <w:docPartUnique/>
                        </w:docPartObj>
                      </w:sdtPr>
                      <w:sdtEndPr>
                        <w:rPr>
                          <w:rFonts w:hint="eastAsia" w:ascii="楷体" w:hAnsi="楷体" w:eastAsia="楷体" w:cs="楷体"/>
                          <w:kern w:val="2"/>
                          <w:sz w:val="21"/>
                          <w:szCs w:val="28"/>
                          <w:lang w:val="en-US" w:eastAsia="zh-CN" w:bidi="ar-SA"/>
                        </w:rPr>
                      </w:sdtEndPr>
                      <w:sdtContent>
                        <w:p w14:paraId="6A5E6E8F">
                          <w:pPr>
                            <w:spacing w:before="0" w:beforeLines="0" w:after="0" w:afterLines="0" w:line="240" w:lineRule="auto"/>
                            <w:ind w:left="0" w:leftChars="0" w:right="0" w:rightChars="0" w:firstLine="0" w:firstLineChars="0"/>
                            <w:jc w:val="center"/>
                            <w:rPr>
                              <w:rFonts w:hint="eastAsia" w:ascii="楷体" w:hAnsi="楷体" w:eastAsia="楷体" w:cs="楷体"/>
                              <w:kern w:val="2"/>
                              <w:sz w:val="52"/>
                              <w:szCs w:val="52"/>
                              <w:lang w:val="en-US" w:eastAsia="zh-CN" w:bidi="ar-SA"/>
                            </w:rPr>
                          </w:pPr>
                        </w:p>
                        <w:p w14:paraId="79FC76E3">
                          <w:pPr>
                            <w:spacing w:before="0" w:beforeLines="0" w:after="0" w:afterLines="0" w:line="240" w:lineRule="auto"/>
                            <w:ind w:left="0" w:leftChars="0" w:right="0" w:rightChars="0" w:firstLine="0" w:firstLineChars="0"/>
                            <w:jc w:val="center"/>
                            <w:rPr>
                              <w:rFonts w:hint="eastAsia" w:ascii="楷体" w:hAnsi="楷体" w:eastAsia="楷体" w:cs="楷体"/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hint="eastAsia" w:ascii="楷体" w:hAnsi="楷体" w:eastAsia="楷体" w:cs="楷体"/>
                              <w:sz w:val="52"/>
                              <w:szCs w:val="52"/>
                            </w:rPr>
                            <w:t>目录</w:t>
                          </w:r>
                        </w:p>
                        <w:p w14:paraId="11240758">
                          <w:pPr>
                            <w:pStyle w:val="12"/>
                            <w:tabs>
                              <w:tab w:val="right" w:leader="dot" w:pos="8306"/>
                            </w:tabs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instrText xml:space="preserve">TOC \o "1-1" \h \u </w:instrTex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instrText xml:space="preserve"> HYPERLINK \l _Toc6932 </w:instrTex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" w:hAnsi="楷体" w:eastAsia="楷体" w:cs="楷体"/>
                              <w:bCs/>
                              <w:sz w:val="28"/>
                              <w:szCs w:val="28"/>
                              <w:lang w:val="en-US" w:eastAsia="zh-CN"/>
                            </w:rPr>
                            <w:t>一、实验步骤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instrText xml:space="preserve"> PAGEREF _Toc6932 \h </w:instrTex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7EF94EF1">
                          <w:pPr>
                            <w:pStyle w:val="12"/>
                            <w:tabs>
                              <w:tab w:val="right" w:leader="dot" w:pos="8306"/>
                            </w:tabs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instrText xml:space="preserve"> HYPERLINK \l _Toc13826 </w:instrTex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t>二、实验主要试剂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instrText xml:space="preserve"> PAGEREF _Toc13826 \h </w:instrTex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579F0501">
                          <w:pPr>
                            <w:pStyle w:val="12"/>
                            <w:tabs>
                              <w:tab w:val="right" w:leader="dot" w:pos="8306"/>
                            </w:tabs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instrText xml:space="preserve"> HYPERLINK \l _Toc18965 </w:instrTex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t>三、实验器材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  <w:lang w:val="en-US" w:eastAsia="zh-CN"/>
                            </w:rPr>
                            <w:t>2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211CA6A1">
                          <w:pPr>
                            <w:pStyle w:val="12"/>
                            <w:tabs>
                              <w:tab w:val="right" w:leader="dot" w:pos="8306"/>
                            </w:tabs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instrText xml:space="preserve"> HYPERLINK \l _Toc32314 </w:instrTex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" w:hAnsi="楷体" w:eastAsia="楷体" w:cs="楷体"/>
                              <w:bCs/>
                              <w:sz w:val="28"/>
                              <w:szCs w:val="28"/>
                              <w:lang w:val="en-US" w:eastAsia="zh-CN"/>
                            </w:rPr>
                            <w:t>四、结果判读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instrText xml:space="preserve"> PAGEREF _Toc32314 \h </w:instrTex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45EF64F7">
                          <w:pPr>
                            <w:pStyle w:val="12"/>
                            <w:tabs>
                              <w:tab w:val="right" w:leader="dot" w:pos="8306"/>
                            </w:tabs>
                          </w:pP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instrText xml:space="preserve"> HYPERLINK \l _Toc29663 </w:instrTex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" w:hAnsi="楷体" w:eastAsia="楷体" w:cs="楷体"/>
                              <w:bCs/>
                              <w:sz w:val="28"/>
                              <w:szCs w:val="28"/>
                              <w:lang w:val="en-US" w:eastAsia="zh-CN"/>
                            </w:rPr>
                            <w:t>五、注意事项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  <w:lang w:val="en-US" w:eastAsia="zh-CN"/>
                            </w:rPr>
                            <w:t>3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74780CD4">
                          <w:pPr>
                            <w:rPr>
                              <w:rFonts w:hint="eastAsia" w:ascii="楷体" w:hAnsi="楷体" w:eastAsia="楷体" w:cs="楷体"/>
                              <w:kern w:val="2"/>
                              <w:sz w:val="21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楷体" w:hAnsi="楷体" w:eastAsia="楷体" w:cs="楷体"/>
                              <w:szCs w:val="28"/>
                            </w:rPr>
                            <w:fldChar w:fldCharType="end"/>
                          </w:r>
                        </w:p>
                      </w:sdtContent>
                    </w:sdt>
                    <w:p w14:paraId="777D0AAD">
                      <w:pPr>
                        <w:bidi w:val="0"/>
                        <w:rPr>
                          <w:rFonts w:hint="eastAsia" w:ascii="Times New Roman" w:hAnsi="Times New Roman" w:eastAsia="宋体" w:cs="Times New Roman"/>
                          <w:kern w:val="2"/>
                          <w:sz w:val="21"/>
                          <w:szCs w:val="24"/>
                          <w:lang w:val="en-US" w:eastAsia="zh-CN" w:bidi="ar-SA"/>
                        </w:rPr>
                      </w:pPr>
                    </w:p>
                    <w:p w14:paraId="13A66FBD">
                      <w:pPr>
                        <w:bidi w:val="0"/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23C2ED5B">
                      <w:pPr>
                        <w:bidi w:val="0"/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72903218">
                      <w:pPr>
                        <w:bidi w:val="0"/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255DF4C6">
                      <w:pPr>
                        <w:bidi w:val="0"/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6400D28D">
                      <w:pPr>
                        <w:bidi w:val="0"/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4FBEC720">
                      <w:pPr>
                        <w:bidi w:val="0"/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7810F24B">
                      <w:pPr>
                        <w:bidi w:val="0"/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7866A1E0">
                      <w:pPr>
                        <w:tabs>
                          <w:tab w:val="left" w:pos="4806"/>
                        </w:tabs>
                        <w:bidi w:val="0"/>
                        <w:jc w:val="left"/>
                        <w:rPr>
                          <w:rFonts w:hint="eastAsia"/>
                          <w:lang w:val="en-US" w:eastAsia="zh-CN"/>
                        </w:rPr>
                        <w:sectPr>
                          <w:headerReference r:id="rId3" w:type="default"/>
                          <w:footerReference r:id="rId4" w:type="default"/>
                          <w:pgSz w:w="11906" w:h="16838"/>
                          <w:pgMar w:top="1440" w:right="1800" w:bottom="1440" w:left="1800" w:header="851" w:footer="992" w:gutter="0"/>
                          <w:cols w:space="425" w:num="1"/>
                          <w:docGrid w:type="lines" w:linePitch="312" w:charSpace="0"/>
                        </w:sect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ab/>
                      </w:r>
                    </w:p>
                    <w:p w14:paraId="4DC2F940"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实验步骤</w:t>
                      </w:r>
                    </w:p>
                    <w:p w14:paraId="5F5F9C4A">
                      <w:pPr>
                        <w:numPr>
                          <w:ilvl w:val="0"/>
                          <w:numId w:val="2"/>
                        </w:numPr>
                        <w:jc w:val="left"/>
                        <w:rPr>
                          <w:rFonts w:hint="eastAsia" w:ascii="楷体" w:hAnsi="楷体" w:eastAsia="楷体" w:cs="楷体"/>
                          <w:b w:val="0"/>
                          <w:bCs w:val="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 w:val="0"/>
                          <w:bCs w:val="0"/>
                          <w:sz w:val="28"/>
                          <w:szCs w:val="28"/>
                          <w:lang w:val="en-US" w:eastAsia="zh-CN"/>
                        </w:rPr>
                        <w:t>切片常规脱蜡至水,画疏水圈。</w:t>
                      </w:r>
                    </w:p>
                    <w:p w14:paraId="6B5BCD35">
                      <w:pPr>
                        <w:numPr>
                          <w:ilvl w:val="0"/>
                          <w:numId w:val="2"/>
                        </w:numPr>
                        <w:jc w:val="left"/>
                        <w:rPr>
                          <w:rFonts w:hint="eastAsia" w:ascii="楷体" w:hAnsi="楷体" w:eastAsia="楷体" w:cs="楷体"/>
                          <w:b w:val="0"/>
                          <w:bCs w:val="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 w:val="0"/>
                          <w:bCs w:val="0"/>
                          <w:sz w:val="28"/>
                          <w:szCs w:val="28"/>
                          <w:lang w:val="en-US" w:eastAsia="zh-CN"/>
                        </w:rPr>
                        <w:t>滴加刚果红染色液，染色10-30min。</w:t>
                      </w:r>
                    </w:p>
                    <w:p w14:paraId="6CE95BB5">
                      <w:pPr>
                        <w:numPr>
                          <w:ilvl w:val="0"/>
                          <w:numId w:val="2"/>
                        </w:numPr>
                        <w:jc w:val="left"/>
                        <w:rPr>
                          <w:rFonts w:hint="eastAsia" w:ascii="楷体" w:hAnsi="楷体" w:eastAsia="楷体" w:cs="楷体"/>
                          <w:b w:val="0"/>
                          <w:bCs w:val="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 w:val="0"/>
                          <w:bCs w:val="0"/>
                          <w:sz w:val="28"/>
                          <w:szCs w:val="28"/>
                          <w:lang w:val="en-US" w:eastAsia="zh-CN"/>
                        </w:rPr>
                        <w:t>流水冲洗干净,甩去切片上多余水分。</w:t>
                      </w:r>
                    </w:p>
                    <w:p w14:paraId="60F1A9DC">
                      <w:pPr>
                        <w:numPr>
                          <w:ilvl w:val="0"/>
                          <w:numId w:val="2"/>
                        </w:numPr>
                        <w:jc w:val="left"/>
                        <w:rPr>
                          <w:rFonts w:hint="eastAsia" w:ascii="楷体" w:hAnsi="楷体" w:eastAsia="楷体" w:cs="楷体"/>
                          <w:b w:val="0"/>
                          <w:bCs w:val="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 w:val="0"/>
                          <w:bCs w:val="0"/>
                          <w:sz w:val="28"/>
                          <w:szCs w:val="28"/>
                          <w:lang w:val="en-US" w:eastAsia="zh-CN"/>
                        </w:rPr>
                        <w:t>碱性乙醇分化数秒，镜下控制分化程度。</w:t>
                      </w:r>
                    </w:p>
                    <w:p w14:paraId="0565FE41">
                      <w:pPr>
                        <w:numPr>
                          <w:ilvl w:val="0"/>
                          <w:numId w:val="2"/>
                        </w:numPr>
                        <w:jc w:val="left"/>
                        <w:rPr>
                          <w:rFonts w:hint="eastAsia" w:ascii="楷体" w:hAnsi="楷体" w:eastAsia="楷体" w:cs="楷体"/>
                          <w:b w:val="0"/>
                          <w:bCs w:val="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 w:val="0"/>
                          <w:bCs w:val="0"/>
                          <w:sz w:val="28"/>
                          <w:szCs w:val="28"/>
                          <w:lang w:val="en-US" w:eastAsia="zh-CN"/>
                        </w:rPr>
                        <w:t>流水冲洗干净,苏木素复染切片2min。</w:t>
                      </w:r>
                    </w:p>
                    <w:p w14:paraId="3B325DFF">
                      <w:pPr>
                        <w:numPr>
                          <w:ilvl w:val="0"/>
                          <w:numId w:val="2"/>
                        </w:numPr>
                        <w:jc w:val="left"/>
                        <w:rPr>
                          <w:rFonts w:hint="eastAsia" w:ascii="楷体" w:hAnsi="楷体" w:eastAsia="楷体" w:cs="楷体"/>
                          <w:b w:val="0"/>
                          <w:bCs w:val="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 w:val="0"/>
                          <w:bCs w:val="0"/>
                          <w:sz w:val="28"/>
                          <w:szCs w:val="28"/>
                          <w:lang w:val="en-US" w:eastAsia="zh-CN"/>
                        </w:rPr>
                        <w:t>流水冲洗干净。</w:t>
                      </w:r>
                    </w:p>
                    <w:p w14:paraId="33063842">
                      <w:pPr>
                        <w:numPr>
                          <w:ilvl w:val="0"/>
                          <w:numId w:val="2"/>
                        </w:numPr>
                        <w:jc w:val="left"/>
                        <w:rPr>
                          <w:rFonts w:hint="eastAsia" w:ascii="楷体" w:hAnsi="楷体" w:eastAsia="楷体" w:cs="楷体"/>
                          <w:b w:val="0"/>
                          <w:bCs w:val="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 w:val="0"/>
                          <w:bCs w:val="0"/>
                          <w:sz w:val="28"/>
                          <w:szCs w:val="28"/>
                          <w:lang w:val="en-US" w:eastAsia="zh-CN"/>
                        </w:rPr>
                        <w:t>常规脱水，二甲苯透明。</w:t>
                      </w:r>
                    </w:p>
                    <w:p w14:paraId="0AEECDA1">
                      <w:pPr>
                        <w:numPr>
                          <w:ilvl w:val="0"/>
                          <w:numId w:val="2"/>
                        </w:numPr>
                        <w:jc w:val="left"/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 w:val="0"/>
                          <w:bCs w:val="0"/>
                          <w:sz w:val="28"/>
                          <w:szCs w:val="28"/>
                          <w:lang w:val="en-US" w:eastAsia="zh-CN"/>
                        </w:rPr>
                        <w:t>中性树胶封片，显微镜观察结果。</w:t>
                      </w:r>
                    </w:p>
                    <w:p w14:paraId="78B75F72">
                      <w:pPr>
                        <w:spacing w:before="312" w:beforeLines="100" w:after="312" w:afterLines="100" w:line="380" w:lineRule="exact"/>
                        <w:rPr>
                          <w:rFonts w:hint="eastAsia" w:ascii="楷体" w:hAnsi="楷体" w:eastAsia="楷体" w:cs="楷体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sz w:val="28"/>
                          <w:szCs w:val="28"/>
                        </w:rPr>
                        <w:t>二、实验主要试剂</w:t>
                      </w:r>
                    </w:p>
                    <w:tbl>
                      <w:tblPr>
                        <w:tblStyle w:val="8"/>
                        <w:tblW w:w="8595" w:type="dxa"/>
                        <w:tblInd w:w="189" w:type="dxa"/>
                        <w:tblBorders>
                          <w:top w:val="single" w:color="auto" w:sz="12" w:space="0"/>
                          <w:left w:val="none" w:color="auto" w:sz="0" w:space="0"/>
                          <w:bottom w:val="single" w:color="auto" w:sz="12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2677"/>
                        <w:gridCol w:w="2511"/>
                        <w:gridCol w:w="1535"/>
                        <w:gridCol w:w="1872"/>
                      </w:tblGrid>
                      <w:tr w14:paraId="7C95974F">
                        <w:tblPrEx>
                          <w:tblBorders>
                            <w:top w:val="single" w:color="auto" w:sz="12" w:space="0"/>
                            <w:left w:val="none" w:color="auto" w:sz="0" w:space="0"/>
                            <w:bottom w:val="single" w:color="auto" w:sz="12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5" w:hRule="atLeast"/>
                        </w:trPr>
                        <w:tc>
                          <w:tcPr>
                            <w:tcW w:w="2677" w:type="dxa"/>
                            <w:tcBorders>
                              <w:top w:val="single" w:color="auto" w:sz="12" w:space="0"/>
                              <w:bottom w:val="single" w:color="auto" w:sz="12" w:space="0"/>
                            </w:tcBorders>
                            <w:noWrap w:val="0"/>
                            <w:vAlign w:val="top"/>
                          </w:tcPr>
                          <w:p w14:paraId="33672BC7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sz w:val="28"/>
                                <w:szCs w:val="28"/>
                              </w:rPr>
                              <w:t>试剂</w:t>
                            </w:r>
                          </w:p>
                        </w:tc>
                        <w:tc>
                          <w:tcPr>
                            <w:tcW w:w="2511" w:type="dxa"/>
                            <w:tcBorders>
                              <w:top w:val="single" w:color="auto" w:sz="12" w:space="0"/>
                              <w:bottom w:val="single" w:color="auto" w:sz="12" w:space="0"/>
                            </w:tcBorders>
                            <w:noWrap w:val="0"/>
                            <w:vAlign w:val="top"/>
                          </w:tcPr>
                          <w:p w14:paraId="1CE75D4F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sz w:val="28"/>
                                <w:szCs w:val="28"/>
                              </w:rPr>
                              <w:t>厂家</w:t>
                            </w:r>
                          </w:p>
                        </w:tc>
                        <w:tc>
                          <w:tcPr>
                            <w:tcW w:w="1535" w:type="dxa"/>
                            <w:tcBorders>
                              <w:top w:val="single" w:color="auto" w:sz="12" w:space="0"/>
                              <w:bottom w:val="single" w:color="auto" w:sz="12" w:space="0"/>
                            </w:tcBorders>
                            <w:noWrap w:val="0"/>
                            <w:vAlign w:val="top"/>
                          </w:tcPr>
                          <w:p w14:paraId="6F5EE63F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sz w:val="28"/>
                                <w:szCs w:val="28"/>
                              </w:rPr>
                              <w:t>货号</w:t>
                            </w:r>
                          </w:p>
                        </w:tc>
                        <w:tc>
                          <w:tcPr>
                            <w:tcW w:w="1872" w:type="dxa"/>
                            <w:tcBorders>
                              <w:top w:val="single" w:color="auto" w:sz="12" w:space="0"/>
                              <w:bottom w:val="single" w:color="auto" w:sz="12" w:space="0"/>
                            </w:tcBorders>
                            <w:noWrap w:val="0"/>
                            <w:vAlign w:val="top"/>
                          </w:tcPr>
                          <w:p w14:paraId="3B60F4FB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sz w:val="28"/>
                                <w:szCs w:val="28"/>
                              </w:rPr>
                              <w:t>批号</w:t>
                            </w:r>
                          </w:p>
                        </w:tc>
                      </w:tr>
                      <w:tr w14:paraId="18598636">
                        <w:tblPrEx>
                          <w:tblBorders>
                            <w:top w:val="single" w:color="auto" w:sz="12" w:space="0"/>
                            <w:left w:val="none" w:color="auto" w:sz="0" w:space="0"/>
                            <w:bottom w:val="single" w:color="auto" w:sz="12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30" w:hRule="atLeast"/>
                        </w:trPr>
                        <w:tc>
                          <w:tcPr>
                            <w:tcW w:w="2677" w:type="dxa"/>
                            <w:noWrap w:val="0"/>
                            <w:vAlign w:val="top"/>
                          </w:tcPr>
                          <w:p w14:paraId="55C29C2D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  <w:lang w:eastAsia="zh-CN"/>
                              </w:rPr>
                              <w:t>二甲苯</w:t>
                            </w:r>
                          </w:p>
                        </w:tc>
                        <w:tc>
                          <w:tcPr>
                            <w:tcW w:w="2511" w:type="dxa"/>
                            <w:noWrap w:val="0"/>
                            <w:vAlign w:val="top"/>
                          </w:tcPr>
                          <w:p w14:paraId="7F781CAD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 w:val="0"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天津市凯通化学</w:t>
                            </w:r>
                          </w:p>
                        </w:tc>
                        <w:tc>
                          <w:tcPr>
                            <w:tcW w:w="1535" w:type="dxa"/>
                            <w:noWrap w:val="0"/>
                            <w:vAlign w:val="top"/>
                          </w:tcPr>
                          <w:p w14:paraId="4C8A1DC5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  <w:lang w:val="en-US" w:eastAsia="zh-CN"/>
                              </w:rPr>
                              <w:t>无</w:t>
                            </w:r>
                          </w:p>
                        </w:tc>
                        <w:tc>
                          <w:tcPr>
                            <w:tcW w:w="1872" w:type="dxa"/>
                            <w:noWrap w:val="0"/>
                            <w:vAlign w:val="top"/>
                          </w:tcPr>
                          <w:p w14:paraId="3308E853">
                            <w:pPr>
                              <w:spacing w:line="380" w:lineRule="exact"/>
                              <w:jc w:val="center"/>
                              <w:rPr>
                                <w:rFonts w:hint="default" w:ascii="楷体" w:hAnsi="楷体" w:eastAsia="楷体" w:cs="楷体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  <w:lang w:val="en-US" w:eastAsia="zh-CN"/>
                              </w:rPr>
                              <w:t>20250519</w:t>
                            </w:r>
                          </w:p>
                        </w:tc>
                      </w:tr>
                      <w:tr w14:paraId="22380B2C">
                        <w:tblPrEx>
                          <w:tblBorders>
                            <w:top w:val="single" w:color="auto" w:sz="12" w:space="0"/>
                            <w:left w:val="none" w:color="auto" w:sz="0" w:space="0"/>
                            <w:bottom w:val="single" w:color="auto" w:sz="12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30" w:hRule="atLeast"/>
                        </w:trPr>
                        <w:tc>
                          <w:tcPr>
                            <w:tcW w:w="2677" w:type="dxa"/>
                            <w:noWrap w:val="0"/>
                            <w:vAlign w:val="top"/>
                          </w:tcPr>
                          <w:p w14:paraId="0F96175A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  <w:lang w:eastAsia="zh-CN"/>
                              </w:rPr>
                              <w:t>无水乙醇</w:t>
                            </w:r>
                          </w:p>
                        </w:tc>
                        <w:tc>
                          <w:tcPr>
                            <w:tcW w:w="2511" w:type="dxa"/>
                            <w:noWrap w:val="0"/>
                            <w:vAlign w:val="top"/>
                          </w:tcPr>
                          <w:p w14:paraId="77009546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 w:val="0"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上海广诺化学</w:t>
                            </w:r>
                          </w:p>
                        </w:tc>
                        <w:tc>
                          <w:tcPr>
                            <w:tcW w:w="1535" w:type="dxa"/>
                            <w:noWrap w:val="0"/>
                            <w:vAlign w:val="top"/>
                          </w:tcPr>
                          <w:p w14:paraId="7B1DBF6A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  <w:lang w:val="en-US" w:eastAsia="zh-CN"/>
                              </w:rPr>
                              <w:t>无</w:t>
                            </w:r>
                          </w:p>
                        </w:tc>
                        <w:tc>
                          <w:tcPr>
                            <w:tcW w:w="1872" w:type="dxa"/>
                            <w:noWrap w:val="0"/>
                            <w:vAlign w:val="top"/>
                          </w:tcPr>
                          <w:p w14:paraId="33C0B668">
                            <w:pPr>
                              <w:spacing w:line="380" w:lineRule="exact"/>
                              <w:jc w:val="center"/>
                              <w:rPr>
                                <w:rFonts w:hint="default" w:ascii="楷体" w:hAnsi="楷体" w:eastAsia="楷体" w:cs="楷体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  <w:lang w:val="en-US" w:eastAsia="zh-CN"/>
                              </w:rPr>
                              <w:t>20250607</w:t>
                            </w:r>
                          </w:p>
                        </w:tc>
                      </w:tr>
                      <w:tr w14:paraId="061767C7">
                        <w:tblPrEx>
                          <w:tblBorders>
                            <w:top w:val="single" w:color="auto" w:sz="12" w:space="0"/>
                            <w:left w:val="none" w:color="auto" w:sz="0" w:space="0"/>
                            <w:bottom w:val="single" w:color="auto" w:sz="12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47" w:hRule="atLeast"/>
                        </w:trPr>
                        <w:tc>
                          <w:tcPr>
                            <w:tcW w:w="2677" w:type="dxa"/>
                            <w:noWrap w:val="0"/>
                            <w:vAlign w:val="top"/>
                          </w:tcPr>
                          <w:p w14:paraId="6CB08B8A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 w:val="0"/>
                                <w:bCs/>
                                <w:sz w:val="28"/>
                                <w:szCs w:val="28"/>
                              </w:rPr>
                              <w:t>刚果红染色液</w:t>
                            </w:r>
                          </w:p>
                        </w:tc>
                        <w:tc>
                          <w:tcPr>
                            <w:tcW w:w="2511" w:type="dxa"/>
                            <w:noWrap w:val="0"/>
                            <w:vAlign w:val="top"/>
                          </w:tcPr>
                          <w:p w14:paraId="16660553">
                            <w:pPr>
                              <w:spacing w:line="380" w:lineRule="exact"/>
                              <w:jc w:val="center"/>
                              <w:rPr>
                                <w:rFonts w:hint="default" w:ascii="楷体" w:hAnsi="楷体" w:eastAsia="楷体" w:cs="楷体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源叶生物</w:t>
                            </w:r>
                          </w:p>
                        </w:tc>
                        <w:tc>
                          <w:tcPr>
                            <w:tcW w:w="1535" w:type="dxa"/>
                            <w:noWrap w:val="0"/>
                            <w:vAlign w:val="top"/>
                          </w:tcPr>
                          <w:p w14:paraId="4F97DFE0">
                            <w:pPr>
                              <w:spacing w:line="380" w:lineRule="exact"/>
                              <w:jc w:val="center"/>
                              <w:rPr>
                                <w:rFonts w:hint="default" w:ascii="楷体" w:hAnsi="楷体" w:eastAsia="楷体" w:cs="楷体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R20539</w:t>
                            </w:r>
                          </w:p>
                        </w:tc>
                        <w:tc>
                          <w:tcPr>
                            <w:tcW w:w="1872" w:type="dxa"/>
                            <w:noWrap w:val="0"/>
                            <w:vAlign w:val="top"/>
                          </w:tcPr>
                          <w:p w14:paraId="02C5122C">
                            <w:pPr>
                              <w:spacing w:line="380" w:lineRule="exact"/>
                              <w:jc w:val="center"/>
                              <w:rPr>
                                <w:rFonts w:hint="default" w:ascii="楷体" w:hAnsi="楷体" w:eastAsia="楷体" w:cs="楷体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L05J8G37251</w:t>
                            </w:r>
                          </w:p>
                        </w:tc>
                      </w:tr>
                      <w:tr w14:paraId="3CF89E9A">
                        <w:tblPrEx>
                          <w:tblBorders>
                            <w:top w:val="single" w:color="auto" w:sz="12" w:space="0"/>
                            <w:left w:val="none" w:color="auto" w:sz="0" w:space="0"/>
                            <w:bottom w:val="single" w:color="auto" w:sz="12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47" w:hRule="atLeast"/>
                        </w:trPr>
                        <w:tc>
                          <w:tcPr>
                            <w:tcW w:w="2677" w:type="dxa"/>
                            <w:noWrap w:val="0"/>
                            <w:vAlign w:val="top"/>
                          </w:tcPr>
                          <w:p w14:paraId="22314C3A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 w:val="0"/>
                                <w:bCs/>
                                <w:sz w:val="28"/>
                                <w:szCs w:val="28"/>
                              </w:rPr>
                              <w:t>苏木素染液</w:t>
                            </w:r>
                          </w:p>
                        </w:tc>
                        <w:tc>
                          <w:tcPr>
                            <w:tcW w:w="2511" w:type="dxa"/>
                            <w:noWrap w:val="0"/>
                            <w:vAlign w:val="top"/>
                          </w:tcPr>
                          <w:p w14:paraId="7ECFC2F7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珠海贝索</w:t>
                            </w:r>
                          </w:p>
                        </w:tc>
                        <w:tc>
                          <w:tcPr>
                            <w:tcW w:w="1535" w:type="dxa"/>
                            <w:noWrap w:val="0"/>
                            <w:vAlign w:val="top"/>
                          </w:tcPr>
                          <w:p w14:paraId="3B4F58CB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BA4041</w:t>
                            </w:r>
                          </w:p>
                        </w:tc>
                        <w:tc>
                          <w:tcPr>
                            <w:tcW w:w="1872" w:type="dxa"/>
                            <w:noWrap w:val="0"/>
                            <w:vAlign w:val="top"/>
                          </w:tcPr>
                          <w:p w14:paraId="59F98824">
                            <w:pPr>
                              <w:spacing w:line="380" w:lineRule="exact"/>
                              <w:jc w:val="center"/>
                              <w:rPr>
                                <w:rFonts w:hint="default" w:ascii="楷体" w:hAnsi="楷体" w:eastAsia="楷体" w:cs="楷体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C250702</w:t>
                            </w:r>
                          </w:p>
                        </w:tc>
                      </w:tr>
                      <w:tr w14:paraId="26B7AEC5">
                        <w:tblPrEx>
                          <w:tblBorders>
                            <w:top w:val="single" w:color="auto" w:sz="12" w:space="0"/>
                            <w:left w:val="none" w:color="auto" w:sz="0" w:space="0"/>
                            <w:bottom w:val="single" w:color="auto" w:sz="12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15" w:hRule="atLeast"/>
                        </w:trPr>
                        <w:tc>
                          <w:tcPr>
                            <w:tcW w:w="2677" w:type="dxa"/>
                            <w:noWrap w:val="0"/>
                            <w:vAlign w:val="top"/>
                          </w:tcPr>
                          <w:p w14:paraId="60102286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  <w:lang w:eastAsia="zh-CN"/>
                              </w:rPr>
                              <w:t>中性树胶</w:t>
                            </w:r>
                          </w:p>
                        </w:tc>
                        <w:tc>
                          <w:tcPr>
                            <w:tcW w:w="2511" w:type="dxa"/>
                            <w:noWrap w:val="0"/>
                            <w:vAlign w:val="top"/>
                          </w:tcPr>
                          <w:p w14:paraId="757ABE20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无锡江原</w:t>
                            </w:r>
                          </w:p>
                        </w:tc>
                        <w:tc>
                          <w:tcPr>
                            <w:tcW w:w="1535" w:type="dxa"/>
                            <w:noWrap w:val="0"/>
                            <w:vAlign w:val="top"/>
                          </w:tcPr>
                          <w:p w14:paraId="45DB5BAA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ZLI-9516</w:t>
                            </w:r>
                          </w:p>
                        </w:tc>
                        <w:tc>
                          <w:tcPr>
                            <w:tcW w:w="1872" w:type="dxa"/>
                            <w:noWrap w:val="0"/>
                            <w:vAlign w:val="top"/>
                          </w:tcPr>
                          <w:p w14:paraId="7090FFEB">
                            <w:pPr>
                              <w:spacing w:line="380" w:lineRule="exact"/>
                              <w:jc w:val="center"/>
                              <w:rPr>
                                <w:rFonts w:hint="default" w:ascii="楷体" w:hAnsi="楷体" w:eastAsia="楷体" w:cs="楷体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  <w:lang w:val="en-US" w:eastAsia="zh-CN"/>
                              </w:rPr>
                              <w:t>250211</w:t>
                            </w:r>
                          </w:p>
                        </w:tc>
                      </w:tr>
                    </w:tbl>
                    <w:p w14:paraId="30E94E56">
                      <w:pPr>
                        <w:numPr>
                          <w:ilvl w:val="0"/>
                          <w:numId w:val="0"/>
                        </w:numPr>
                        <w:jc w:val="left"/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  <w:p w14:paraId="087D6A7B">
                      <w:pPr>
                        <w:spacing w:after="156" w:afterLines="50" w:line="380" w:lineRule="exact"/>
                        <w:rPr>
                          <w:rFonts w:hint="eastAsia" w:ascii="楷体" w:hAnsi="楷体" w:eastAsia="楷体" w:cs="楷体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sz w:val="28"/>
                          <w:szCs w:val="28"/>
                        </w:rPr>
                        <w:t>三、实验器材</w:t>
                      </w:r>
                    </w:p>
                    <w:tbl>
                      <w:tblPr>
                        <w:tblStyle w:val="8"/>
                        <w:tblpPr w:leftFromText="180" w:rightFromText="180" w:vertAnchor="text" w:horzAnchor="page" w:tblpX="1960" w:tblpY="205"/>
                        <w:tblOverlap w:val="never"/>
                        <w:tblW w:w="8610" w:type="dxa"/>
                        <w:tblInd w:w="0" w:type="dxa"/>
                        <w:tblBorders>
                          <w:top w:val="single" w:color="000000" w:sz="12" w:space="0"/>
                          <w:left w:val="none" w:color="auto" w:sz="0" w:space="0"/>
                          <w:bottom w:val="single" w:color="000000" w:sz="12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000"/>
                        <w:gridCol w:w="3418"/>
                        <w:gridCol w:w="2192"/>
                      </w:tblGrid>
                      <w:tr w14:paraId="46C110DD">
                        <w:tblPrEx>
                          <w:tblBorders>
                            <w:top w:val="single" w:color="000000" w:sz="12" w:space="0"/>
                            <w:left w:val="none" w:color="auto" w:sz="0" w:space="0"/>
                            <w:bottom w:val="single" w:color="000000" w:sz="12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68" w:hRule="atLeast"/>
                        </w:trPr>
                        <w:tc>
                          <w:tcPr>
                            <w:tcW w:w="3000" w:type="dxa"/>
                            <w:tcBorders>
                              <w:top w:val="single" w:color="000000" w:sz="12" w:space="0"/>
                              <w:bottom w:val="single" w:color="000000" w:sz="12" w:space="0"/>
                            </w:tcBorders>
                            <w:noWrap w:val="0"/>
                            <w:vAlign w:val="top"/>
                          </w:tcPr>
                          <w:p w14:paraId="70570D8C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sz w:val="28"/>
                                <w:szCs w:val="28"/>
                              </w:rPr>
                              <w:t>名称</w:t>
                            </w:r>
                          </w:p>
                        </w:tc>
                        <w:tc>
                          <w:tcPr>
                            <w:tcW w:w="3418" w:type="dxa"/>
                            <w:tcBorders>
                              <w:top w:val="single" w:color="000000" w:sz="12" w:space="0"/>
                              <w:bottom w:val="single" w:color="000000" w:sz="12" w:space="0"/>
                            </w:tcBorders>
                            <w:noWrap w:val="0"/>
                            <w:vAlign w:val="top"/>
                          </w:tcPr>
                          <w:p w14:paraId="523FDBB0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</w:rPr>
                              <w:t>厂家</w:t>
                            </w:r>
                          </w:p>
                        </w:tc>
                        <w:tc>
                          <w:tcPr>
                            <w:tcW w:w="2192" w:type="dxa"/>
                            <w:tcBorders>
                              <w:top w:val="single" w:color="000000" w:sz="12" w:space="0"/>
                              <w:bottom w:val="single" w:color="000000" w:sz="12" w:space="0"/>
                            </w:tcBorders>
                            <w:noWrap w:val="0"/>
                            <w:vAlign w:val="top"/>
                          </w:tcPr>
                          <w:p w14:paraId="75247E97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</w:rPr>
                              <w:t>型号</w:t>
                            </w:r>
                          </w:p>
                        </w:tc>
                      </w:tr>
                      <w:tr w14:paraId="3EDD8607">
                        <w:tblPrEx>
                          <w:tblBorders>
                            <w:top w:val="single" w:color="000000" w:sz="12" w:space="0"/>
                            <w:left w:val="none" w:color="auto" w:sz="0" w:space="0"/>
                            <w:bottom w:val="single" w:color="000000" w:sz="12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39" w:hRule="atLeast"/>
                        </w:trPr>
                        <w:tc>
                          <w:tcPr>
                            <w:tcW w:w="3000" w:type="dxa"/>
                            <w:tcBorders>
                              <w:top w:val="single" w:color="000000" w:sz="12" w:space="0"/>
                            </w:tcBorders>
                            <w:noWrap w:val="0"/>
                            <w:vAlign w:val="top"/>
                          </w:tcPr>
                          <w:p w14:paraId="71E89AF3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徕卡切片机</w:t>
                            </w:r>
                          </w:p>
                        </w:tc>
                        <w:tc>
                          <w:tcPr>
                            <w:tcW w:w="3418" w:type="dxa"/>
                            <w:tcBorders>
                              <w:top w:val="single" w:color="000000" w:sz="12" w:space="0"/>
                            </w:tcBorders>
                            <w:noWrap w:val="0"/>
                            <w:vAlign w:val="top"/>
                          </w:tcPr>
                          <w:p w14:paraId="2A4B4B77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Leica</w:t>
                            </w:r>
                          </w:p>
                        </w:tc>
                        <w:tc>
                          <w:tcPr>
                            <w:tcW w:w="2192" w:type="dxa"/>
                            <w:tcBorders>
                              <w:top w:val="single" w:color="000000" w:sz="12" w:space="0"/>
                            </w:tcBorders>
                            <w:noWrap w:val="0"/>
                            <w:vAlign w:val="top"/>
                          </w:tcPr>
                          <w:p w14:paraId="1D7AB191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Cs/>
                                <w:sz w:val="28"/>
                                <w:szCs w:val="28"/>
                              </w:rPr>
                              <w:t>RM2016</w:t>
                            </w:r>
                          </w:p>
                        </w:tc>
                      </w:tr>
                      <w:tr w14:paraId="21C9E2FA">
                        <w:tblPrEx>
                          <w:tblBorders>
                            <w:top w:val="single" w:color="000000" w:sz="12" w:space="0"/>
                            <w:left w:val="none" w:color="auto" w:sz="0" w:space="0"/>
                            <w:bottom w:val="single" w:color="000000" w:sz="12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19" w:hRule="atLeast"/>
                        </w:trPr>
                        <w:tc>
                          <w:tcPr>
                            <w:tcW w:w="3000" w:type="dxa"/>
                            <w:noWrap w:val="0"/>
                            <w:vAlign w:val="top"/>
                          </w:tcPr>
                          <w:p w14:paraId="744F1FAB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切片刀</w:t>
                            </w:r>
                          </w:p>
                        </w:tc>
                        <w:tc>
                          <w:tcPr>
                            <w:tcW w:w="3418" w:type="dxa"/>
                            <w:noWrap w:val="0"/>
                            <w:vAlign w:val="top"/>
                          </w:tcPr>
                          <w:p w14:paraId="680A6823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Leica</w:t>
                            </w:r>
                          </w:p>
                        </w:tc>
                        <w:tc>
                          <w:tcPr>
                            <w:tcW w:w="2192" w:type="dxa"/>
                            <w:noWrap w:val="0"/>
                            <w:vAlign w:val="top"/>
                          </w:tcPr>
                          <w:p w14:paraId="23FAFB71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Leica 819</w:t>
                            </w:r>
                          </w:p>
                        </w:tc>
                      </w:tr>
                      <w:tr w14:paraId="29097F01">
                        <w:tblPrEx>
                          <w:tblBorders>
                            <w:top w:val="single" w:color="000000" w:sz="12" w:space="0"/>
                            <w:left w:val="none" w:color="auto" w:sz="0" w:space="0"/>
                            <w:bottom w:val="single" w:color="000000" w:sz="12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7" w:hRule="atLeast"/>
                        </w:trPr>
                        <w:tc>
                          <w:tcPr>
                            <w:tcW w:w="3000" w:type="dxa"/>
                            <w:noWrap w:val="0"/>
                            <w:vAlign w:val="top"/>
                          </w:tcPr>
                          <w:p w14:paraId="6B47925E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  <w:lang w:val="en-US" w:eastAsia="zh-CN"/>
                              </w:rPr>
                              <w:t>粘附载玻片</w:t>
                            </w:r>
                          </w:p>
                        </w:tc>
                        <w:tc>
                          <w:tcPr>
                            <w:tcW w:w="3418" w:type="dxa"/>
                            <w:noWrap w:val="0"/>
                            <w:vAlign w:val="top"/>
                          </w:tcPr>
                          <w:p w14:paraId="7821CE29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Cs/>
                                <w:sz w:val="28"/>
                                <w:szCs w:val="28"/>
                              </w:rPr>
                              <w:t>ebiogo</w:t>
                            </w:r>
                          </w:p>
                        </w:tc>
                        <w:tc>
                          <w:tcPr>
                            <w:tcW w:w="2192" w:type="dxa"/>
                            <w:noWrap w:val="0"/>
                            <w:vAlign w:val="top"/>
                          </w:tcPr>
                          <w:p w14:paraId="268E4D50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Cs/>
                                <w:sz w:val="28"/>
                                <w:szCs w:val="28"/>
                              </w:rPr>
                              <w:t>B004</w:t>
                            </w:r>
                          </w:p>
                        </w:tc>
                      </w:tr>
                      <w:tr w14:paraId="24CF3809">
                        <w:tblPrEx>
                          <w:tblBorders>
                            <w:top w:val="single" w:color="000000" w:sz="12" w:space="0"/>
                            <w:left w:val="none" w:color="auto" w:sz="0" w:space="0"/>
                            <w:bottom w:val="single" w:color="000000" w:sz="12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19" w:hRule="atLeast"/>
                        </w:trPr>
                        <w:tc>
                          <w:tcPr>
                            <w:tcW w:w="3000" w:type="dxa"/>
                            <w:noWrap w:val="0"/>
                            <w:vAlign w:val="top"/>
                          </w:tcPr>
                          <w:p w14:paraId="05D42601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</w:rPr>
                              <w:t>显微镜</w:t>
                            </w:r>
                          </w:p>
                        </w:tc>
                        <w:tc>
                          <w:tcPr>
                            <w:tcW w:w="3418" w:type="dxa"/>
                            <w:noWrap w:val="0"/>
                            <w:vAlign w:val="top"/>
                          </w:tcPr>
                          <w:p w14:paraId="7ABC719D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Cs/>
                                <w:sz w:val="28"/>
                                <w:szCs w:val="28"/>
                              </w:rPr>
                              <w:t>OLYMPUS</w:t>
                            </w:r>
                          </w:p>
                        </w:tc>
                        <w:tc>
                          <w:tcPr>
                            <w:tcW w:w="2192" w:type="dxa"/>
                            <w:noWrap w:val="0"/>
                            <w:vAlign w:val="top"/>
                          </w:tcPr>
                          <w:p w14:paraId="62C2A959">
                            <w:pPr>
                              <w:spacing w:line="380" w:lineRule="exact"/>
                              <w:jc w:val="center"/>
                              <w:rPr>
                                <w:rFonts w:hint="eastAsia" w:ascii="楷体" w:hAnsi="楷体" w:eastAsia="楷体" w:cs="楷体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Cs/>
                                <w:sz w:val="28"/>
                                <w:szCs w:val="28"/>
                              </w:rPr>
                              <w:t>CX41</w:t>
                            </w:r>
                          </w:p>
                        </w:tc>
                      </w:tr>
                    </w:tbl>
                    <w:p w14:paraId="7BBABD0C">
                      <w:pPr>
                        <w:numPr>
                          <w:ilvl w:val="0"/>
                          <w:numId w:val="0"/>
                        </w:numPr>
                        <w:jc w:val="left"/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  <w:p w14:paraId="3B7C5A37">
                      <w:pPr>
                        <w:numPr>
                          <w:ilvl w:val="0"/>
                          <w:numId w:val="0"/>
                        </w:numPr>
                        <w:jc w:val="left"/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四、结果判读</w:t>
                      </w:r>
                    </w:p>
                    <w:p w14:paraId="4245B509">
                      <w:pPr>
                        <w:numPr>
                          <w:ilvl w:val="0"/>
                          <w:numId w:val="0"/>
                        </w:numPr>
                        <w:jc w:val="left"/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 w:val="0"/>
                          <w:bCs w:val="0"/>
                          <w:sz w:val="28"/>
                          <w:szCs w:val="28"/>
                          <w:lang w:val="en-US" w:eastAsia="zh-CN"/>
                        </w:rPr>
                        <w:t>淀粉样物质呈红色，细胞核呈蓝色</w:t>
                      </w: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。</w:t>
                      </w:r>
                    </w:p>
                    <w:p w14:paraId="5CE269AC">
                      <w:pPr>
                        <w:numPr>
                          <w:ilvl w:val="0"/>
                          <w:numId w:val="0"/>
                        </w:numPr>
                        <w:jc w:val="left"/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drawing>
                          <wp:inline distT="0" distB="0" distL="114300" distR="114300">
                            <wp:extent cx="5266690" cy="2834640"/>
                            <wp:effectExtent l="0" t="0" r="10160" b="3810"/>
                            <wp:docPr id="2" name="图片 2" descr="E:/刘路/图库/特染/刚果红染色/假2-4_20.0x.jpg假2-4_20.0x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 descr="E:/刘路/图库/特染/刚果红染色/假2-4_20.0x.jpg假2-4_20.0x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rcRect t="54" b="5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266690" cy="28346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9411642">
                      <w:pPr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hint="eastAsia" w:ascii="楷体" w:hAnsi="楷体" w:eastAsia="楷体" w:cs="楷体"/>
                          <w:b w:val="0"/>
                          <w:bCs w:val="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 w:val="0"/>
                          <w:bCs w:val="0"/>
                          <w:sz w:val="28"/>
                          <w:szCs w:val="28"/>
                          <w:lang w:val="en-US" w:eastAsia="zh-CN"/>
                        </w:rPr>
                        <w:t>示例图（脑组织）</w:t>
                      </w:r>
                    </w:p>
                    <w:p w14:paraId="54DBB617">
                      <w:pPr>
                        <w:numPr>
                          <w:ilvl w:val="0"/>
                          <w:numId w:val="0"/>
                        </w:numPr>
                        <w:jc w:val="both"/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五、注意事项</w:t>
                      </w:r>
                    </w:p>
                    <w:p w14:paraId="525F5E7F"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3"/>
                        </w:numPr>
                        <w:suppressLineNumbers w:val="0"/>
                        <w:jc w:val="left"/>
                        <w:rPr>
                          <w:rFonts w:hint="eastAsia" w:ascii="楷体" w:hAnsi="楷体" w:eastAsia="楷体" w:cs="楷体"/>
                          <w:color w:val="151515"/>
                          <w:kern w:val="0"/>
                          <w:sz w:val="28"/>
                          <w:szCs w:val="28"/>
                          <w:lang w:val="en-US" w:eastAsia="zh-CN" w:bidi="ar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color w:val="151515"/>
                          <w:kern w:val="0"/>
                          <w:sz w:val="28"/>
                          <w:szCs w:val="28"/>
                          <w:lang w:val="en-US" w:eastAsia="zh-CN" w:bidi="ar"/>
                        </w:rPr>
                        <w:t>切片脱蜡应尽量干净，否则影响染色效果。</w:t>
                      </w:r>
                    </w:p>
                    <w:p w14:paraId="71077B20"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3"/>
                        </w:numPr>
                        <w:suppressLineNumbers w:val="0"/>
                        <w:ind w:left="0" w:leftChars="0" w:firstLine="0" w:firstLineChars="0"/>
                        <w:jc w:val="left"/>
                        <w:rPr>
                          <w:rFonts w:hint="eastAsia" w:ascii="楷体" w:hAnsi="楷体" w:eastAsia="楷体" w:cs="楷体"/>
                          <w:color w:val="151515"/>
                          <w:kern w:val="0"/>
                          <w:sz w:val="28"/>
                          <w:szCs w:val="28"/>
                          <w:lang w:val="en-US" w:eastAsia="zh-CN" w:bidi="ar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color w:val="151515"/>
                          <w:kern w:val="0"/>
                          <w:sz w:val="28"/>
                          <w:szCs w:val="28"/>
                          <w:lang w:val="en-US" w:eastAsia="zh-CN" w:bidi="ar"/>
                        </w:rPr>
                        <w:t>刚果红染色液染色时尽量采用浸染，如果滴染，应置于湿盒内防止溶液挥发。</w:t>
                      </w:r>
                    </w:p>
                    <w:p w14:paraId="4705D897"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3"/>
                        </w:numPr>
                        <w:suppressLineNumbers w:val="0"/>
                        <w:ind w:left="0" w:leftChars="0" w:firstLine="0" w:firstLineChars="0"/>
                        <w:jc w:val="left"/>
                        <w:rPr>
                          <w:rFonts w:hint="default" w:ascii="楷体" w:hAnsi="楷体" w:eastAsia="楷体" w:cs="楷体"/>
                          <w:color w:val="151515"/>
                          <w:kern w:val="0"/>
                          <w:sz w:val="28"/>
                          <w:szCs w:val="28"/>
                          <w:lang w:val="en-US" w:eastAsia="zh-CN" w:bidi="ar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color w:val="151515"/>
                          <w:kern w:val="0"/>
                          <w:sz w:val="28"/>
                          <w:szCs w:val="28"/>
                          <w:lang w:val="en-US" w:eastAsia="zh-CN" w:bidi="ar"/>
                        </w:rPr>
                        <w:t>分化时要注意，若时间较短，胶原纤维也被染成红色，若分化过度，淀粉样物质也会被脱色。如果脱色过度，可以将切片清洗后重新用刚果红染色液浸染。</w:t>
                      </w:r>
                    </w:p>
                    <w:p w14:paraId="59326A67">
                      <w:pPr>
                        <w:tabs>
                          <w:tab w:val="left" w:pos="6201"/>
                        </w:tabs>
                        <w:bidi w:val="0"/>
                        <w:jc w:val="left"/>
                        <w:rPr>
                          <w:rFonts w:hint="eastAsia" w:ascii="楷体" w:hAnsi="楷体" w:eastAsia="楷体" w:cs="楷体"/>
                          <w:kern w:val="2"/>
                          <w:sz w:val="21"/>
                          <w:szCs w:val="28"/>
                          <w:lang w:val="en-US" w:eastAsia="zh-CN" w:bidi="ar-SA"/>
                        </w:rPr>
                      </w:pPr>
                    </w:p>
                  </w:sdtContent>
                </w:sdt>
              </w:sdtContent>
            </w:sdt>
          </w:sdtContent>
        </w:sdt>
      </w:sdtContent>
    </w:sdt>
    <w:p w14:paraId="2653EF42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741C23B4">
      <w:pPr>
        <w:bidi w:val="0"/>
        <w:rPr>
          <w:rFonts w:hint="eastAsia"/>
          <w:lang w:val="en-US" w:eastAsia="zh-CN"/>
        </w:rPr>
      </w:pPr>
    </w:p>
    <w:p w14:paraId="4F4A5168">
      <w:pPr>
        <w:bidi w:val="0"/>
        <w:rPr>
          <w:rFonts w:hint="eastAsia"/>
          <w:lang w:val="en-US" w:eastAsia="zh-CN"/>
        </w:rPr>
      </w:pPr>
    </w:p>
    <w:p w14:paraId="133072A2">
      <w:pPr>
        <w:tabs>
          <w:tab w:val="left" w:pos="4656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CDE889">
    <w:pPr>
      <w:jc w:val="left"/>
      <w:rPr>
        <w:b/>
        <w:sz w:val="18"/>
        <w:szCs w:val="18"/>
      </w:rPr>
    </w:pPr>
    <w:r>
      <w:rPr>
        <w:rFonts w:hAnsi="宋体"/>
        <w:b/>
        <w:sz w:val="18"/>
        <w:szCs w:val="18"/>
      </w:rPr>
      <w:pict>
        <v:line id="直线 1026" o:spid="_x0000_s4097" o:spt="20" style="position:absolute;left:0pt;margin-left:1.3pt;margin-top:0.05pt;height:0pt;width:450pt;mso-wrap-distance-bottom:0pt;mso-wrap-distance-left:9pt;mso-wrap-distance-right:9pt;mso-wrap-distance-top:0pt;z-index:251659264;mso-width-relative:page;mso-height-relative:page;" coordsize="21600,21600">
          <v:path arrowok="t"/>
          <v:fill focussize="0,0"/>
          <v:stroke weight="1.25pt"/>
          <v:imagedata o:title=""/>
          <o:lock v:ext="edit"/>
          <w10:wrap type="square"/>
        </v:line>
      </w:pict>
    </w:r>
    <w:r>
      <w:rPr>
        <w:rFonts w:hAnsi="宋体"/>
        <w:b/>
        <w:sz w:val="18"/>
        <w:szCs w:val="18"/>
      </w:rPr>
      <w:t>地址：</w:t>
    </w:r>
    <w:r>
      <w:rPr>
        <w:rFonts w:ascii="Arial" w:hAnsi="Arial" w:cs="Arial"/>
        <w:color w:val="333333"/>
        <w:sz w:val="20"/>
        <w:szCs w:val="20"/>
        <w:shd w:val="clear" w:color="auto" w:fill="FFFFFF"/>
      </w:rPr>
      <w:t> </w:t>
    </w:r>
    <w:r>
      <w:rPr>
        <w:rFonts w:hAnsi="宋体"/>
        <w:b/>
        <w:sz w:val="18"/>
        <w:szCs w:val="18"/>
      </w:rPr>
      <w:t>合肥市高新区皖水路424号</w:t>
    </w:r>
  </w:p>
  <w:p w14:paraId="451EE7D2">
    <w:pPr>
      <w:pStyle w:val="4"/>
      <w:tabs>
        <w:tab w:val="left" w:pos="4950"/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2CBD9">
    <w:pPr>
      <w:pStyle w:val="4"/>
      <w:spacing w:line="160" w:lineRule="exact"/>
      <w:ind w:right="360"/>
      <w:jc w:val="both"/>
    </w:pPr>
    <w:r>
      <w:drawing>
        <wp:inline distT="0" distB="0" distL="0" distR="0">
          <wp:extent cx="5274310" cy="840105"/>
          <wp:effectExtent l="19050" t="0" r="254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4310" cy="8403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452A85A">
    <w:pPr>
      <w:pStyle w:val="5"/>
      <w:rPr>
        <w:b/>
        <w:sz w:val="24"/>
        <w:szCs w:val="24"/>
      </w:rPr>
    </w:pPr>
    <w:r>
      <w:rPr>
        <w:b/>
        <w:sz w:val="24"/>
      </w:rPr>
      <w:drawing>
        <wp:inline distT="0" distB="0" distL="0" distR="0">
          <wp:extent cx="2209800" cy="373380"/>
          <wp:effectExtent l="1905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5518" cy="3744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ACF39"/>
    <w:multiLevelType w:val="singleLevel"/>
    <w:tmpl w:val="ABFACF3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BE2AB80"/>
    <w:multiLevelType w:val="singleLevel"/>
    <w:tmpl w:val="EBE2AB80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abstractNum w:abstractNumId="2">
    <w:nsid w:val="2CD8FDEE"/>
    <w:multiLevelType w:val="singleLevel"/>
    <w:tmpl w:val="2CD8FDE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GIyYWUyZWY1YzFmZDRmYTVkNjliY2ZlYWE3MjhiNmIifQ=="/>
  </w:docVars>
  <w:rsids>
    <w:rsidRoot w:val="00F84F93"/>
    <w:rsid w:val="000056ED"/>
    <w:rsid w:val="000809E9"/>
    <w:rsid w:val="0012477F"/>
    <w:rsid w:val="003D5370"/>
    <w:rsid w:val="00476E95"/>
    <w:rsid w:val="004C4D5C"/>
    <w:rsid w:val="00582FF6"/>
    <w:rsid w:val="0068693A"/>
    <w:rsid w:val="00715073"/>
    <w:rsid w:val="00E33ACB"/>
    <w:rsid w:val="00F5634C"/>
    <w:rsid w:val="00F84F93"/>
    <w:rsid w:val="024A2DCC"/>
    <w:rsid w:val="027125E7"/>
    <w:rsid w:val="034F0512"/>
    <w:rsid w:val="06F061D0"/>
    <w:rsid w:val="0A5B7E05"/>
    <w:rsid w:val="0BFC73C5"/>
    <w:rsid w:val="11C961EA"/>
    <w:rsid w:val="1611159F"/>
    <w:rsid w:val="16223ECC"/>
    <w:rsid w:val="214014EE"/>
    <w:rsid w:val="2503311B"/>
    <w:rsid w:val="2802590C"/>
    <w:rsid w:val="2BBE1E3C"/>
    <w:rsid w:val="30BC3E94"/>
    <w:rsid w:val="32904240"/>
    <w:rsid w:val="33D75E9F"/>
    <w:rsid w:val="374675C3"/>
    <w:rsid w:val="3A033549"/>
    <w:rsid w:val="3BF515B8"/>
    <w:rsid w:val="3DFA4C63"/>
    <w:rsid w:val="440700DA"/>
    <w:rsid w:val="4FA709C3"/>
    <w:rsid w:val="578D049F"/>
    <w:rsid w:val="57F6257F"/>
    <w:rsid w:val="5A5B561B"/>
    <w:rsid w:val="5A6A2FC4"/>
    <w:rsid w:val="654C5718"/>
    <w:rsid w:val="67696832"/>
    <w:rsid w:val="69D91388"/>
    <w:rsid w:val="6AD40467"/>
    <w:rsid w:val="6E7F4B8D"/>
    <w:rsid w:val="71407606"/>
    <w:rsid w:val="731E3A64"/>
    <w:rsid w:val="75D0200F"/>
    <w:rsid w:val="793B5B55"/>
    <w:rsid w:val="794B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10">
    <w:name w:val="页脚 Char"/>
    <w:basedOn w:val="9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3">
    <w:name w:val="副标题 Char"/>
    <w:link w:val="6"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4">
    <w:name w:val="批注框文本 Char"/>
    <w:basedOn w:val="9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481</Words>
  <Characters>594</Characters>
  <Lines>27</Lines>
  <Paragraphs>7</Paragraphs>
  <TotalTime>2</TotalTime>
  <ScaleCrop>false</ScaleCrop>
  <LinksUpToDate>false</LinksUpToDate>
  <CharactersWithSpaces>612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2021-08-31T05:26:00Z</dcterms:created>
  <dc:creator>DELL</dc:creator>
  <cp:lastModifiedBy>紫玉</cp:lastModifiedBy>
  <dcterms:modified xsi:type="dcterms:W3CDTF">2025-08-16T03:52:15Z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73DAF4B6CAA6483E8960A5AFB20C56CC</vt:lpwstr>
  </property>
  <property fmtid="{D5CDD505-2E9C-101B-9397-08002B2CF9AE}" pid="4" name="KSOTemplateDocerSaveRecord">
    <vt:lpwstr>eyJoZGlkIjoiZDM5YmNhYjU4ZjgxMGNiZDE1YzU0ZWVhNzhmNTcyZjkiLCJ1c2VySWQiOiIzOTY4NjM3NTgifQ==</vt:lpwstr>
  </property>
</Properties>
</file>