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7AF61">
      <w:pPr>
        <w:spacing w:line="823" w:lineRule="exact"/>
        <w:ind w:firstLine="9187"/>
      </w:pPr>
    </w:p>
    <w:p w14:paraId="766DF71C">
      <w:pPr>
        <w:spacing w:line="308" w:lineRule="auto"/>
        <w:rPr>
          <w:rFonts w:ascii="Arial"/>
          <w:sz w:val="21"/>
        </w:rPr>
      </w:pPr>
    </w:p>
    <w:p w14:paraId="35F52F9A">
      <w:pPr>
        <w:spacing w:line="309" w:lineRule="auto"/>
        <w:rPr>
          <w:rFonts w:ascii="Arial"/>
          <w:sz w:val="21"/>
        </w:rPr>
      </w:pPr>
    </w:p>
    <w:p w14:paraId="2423F63D">
      <w:pPr>
        <w:pStyle w:val="2"/>
        <w:spacing w:before="101" w:line="219" w:lineRule="auto"/>
        <w:ind w:left="2966"/>
        <w:outlineLvl w:val="0"/>
        <w:rPr>
          <w:sz w:val="31"/>
          <w:szCs w:val="31"/>
        </w:rPr>
      </w:pPr>
      <w:r>
        <w:rPr>
          <w:sz w:val="31"/>
          <w:szCs w:val="31"/>
        </w:rPr>
        <w:t>EZ</w:t>
      </w:r>
      <w:r>
        <w:rPr>
          <w:spacing w:val="14"/>
          <w:sz w:val="31"/>
          <w:szCs w:val="31"/>
        </w:rPr>
        <w:t xml:space="preserve"> </w:t>
      </w:r>
      <w:r>
        <w:rPr>
          <w:sz w:val="31"/>
          <w:szCs w:val="31"/>
        </w:rPr>
        <w:t>Rich</w:t>
      </w:r>
      <w:r>
        <w:rPr>
          <w:spacing w:val="32"/>
          <w:sz w:val="31"/>
          <w:szCs w:val="31"/>
        </w:rPr>
        <w:t xml:space="preserve"> </w:t>
      </w:r>
      <w:r>
        <w:rPr>
          <w:sz w:val="31"/>
          <w:szCs w:val="31"/>
        </w:rPr>
        <w:t>Defined</w:t>
      </w:r>
      <w:r>
        <w:rPr>
          <w:spacing w:val="28"/>
          <w:sz w:val="31"/>
          <w:szCs w:val="31"/>
        </w:rPr>
        <w:t xml:space="preserve"> </w:t>
      </w:r>
      <w:r>
        <w:rPr>
          <w:sz w:val="31"/>
          <w:szCs w:val="31"/>
        </w:rPr>
        <w:t>Medium</w:t>
      </w:r>
      <w:r>
        <w:rPr>
          <w:spacing w:val="32"/>
          <w:sz w:val="31"/>
          <w:szCs w:val="31"/>
        </w:rPr>
        <w:t xml:space="preserve"> </w:t>
      </w:r>
      <w:r>
        <w:rPr>
          <w:sz w:val="31"/>
          <w:szCs w:val="31"/>
        </w:rPr>
        <w:t>Kit</w:t>
      </w:r>
      <w:r>
        <w:rPr>
          <w:spacing w:val="-65"/>
          <w:sz w:val="31"/>
          <w:szCs w:val="31"/>
        </w:rPr>
        <w:t xml:space="preserve"> </w:t>
      </w:r>
      <w:r>
        <w:rPr>
          <w:spacing w:val="14"/>
          <w:sz w:val="31"/>
          <w:szCs w:val="31"/>
        </w:rPr>
        <w:t>使用说明书</w:t>
      </w:r>
    </w:p>
    <w:p w14:paraId="20222780">
      <w:pPr>
        <w:pStyle w:val="2"/>
        <w:spacing w:before="69" w:line="299" w:lineRule="exact"/>
        <w:ind w:firstLine="1272" w:firstLineChars="600"/>
      </w:pPr>
      <w:r>
        <w:rPr>
          <w:spacing w:val="1"/>
          <w:position w:val="3"/>
        </w:rPr>
        <w:t>产品组分表：</w:t>
      </w:r>
    </w:p>
    <w:p w14:paraId="670DC4C5">
      <w:pPr>
        <w:spacing w:line="99" w:lineRule="exact"/>
      </w:pPr>
    </w:p>
    <w:tbl>
      <w:tblPr>
        <w:tblStyle w:val="5"/>
        <w:tblW w:w="9719" w:type="dxa"/>
        <w:tblInd w:w="10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65"/>
        <w:gridCol w:w="2504"/>
        <w:gridCol w:w="3150"/>
      </w:tblGrid>
      <w:tr w14:paraId="03655B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4065" w:type="dxa"/>
            <w:vAlign w:val="top"/>
          </w:tcPr>
          <w:p w14:paraId="217F3A05">
            <w:pPr>
              <w:pStyle w:val="6"/>
              <w:spacing w:before="141" w:line="222" w:lineRule="auto"/>
              <w:ind w:left="1825"/>
              <w:rPr>
                <w:sz w:val="21"/>
                <w:szCs w:val="21"/>
              </w:rPr>
            </w:pPr>
            <w:r>
              <w:rPr>
                <w:b/>
                <w:bCs/>
                <w:spacing w:val="-4"/>
                <w:sz w:val="21"/>
                <w:szCs w:val="21"/>
              </w:rPr>
              <w:t>组分</w:t>
            </w:r>
          </w:p>
        </w:tc>
        <w:tc>
          <w:tcPr>
            <w:tcW w:w="2504" w:type="dxa"/>
            <w:vAlign w:val="top"/>
          </w:tcPr>
          <w:p w14:paraId="34F8AE40">
            <w:pPr>
              <w:pStyle w:val="6"/>
              <w:spacing w:before="140" w:line="221" w:lineRule="auto"/>
              <w:ind w:left="1060"/>
              <w:rPr>
                <w:sz w:val="21"/>
                <w:szCs w:val="21"/>
              </w:rPr>
            </w:pPr>
            <w:r>
              <w:rPr>
                <w:b/>
                <w:bCs/>
                <w:spacing w:val="-4"/>
                <w:sz w:val="21"/>
                <w:szCs w:val="21"/>
              </w:rPr>
              <w:t>规格</w:t>
            </w:r>
          </w:p>
        </w:tc>
        <w:tc>
          <w:tcPr>
            <w:tcW w:w="3150" w:type="dxa"/>
            <w:vAlign w:val="top"/>
          </w:tcPr>
          <w:p w14:paraId="5D8A34AE">
            <w:pPr>
              <w:pStyle w:val="6"/>
              <w:spacing w:before="140" w:line="221" w:lineRule="auto"/>
              <w:ind w:left="1167"/>
              <w:rPr>
                <w:sz w:val="21"/>
                <w:szCs w:val="21"/>
              </w:rPr>
            </w:pPr>
            <w:r>
              <w:rPr>
                <w:b/>
                <w:bCs/>
                <w:spacing w:val="-3"/>
                <w:sz w:val="21"/>
                <w:szCs w:val="21"/>
              </w:rPr>
              <w:t>储存条件</w:t>
            </w:r>
          </w:p>
        </w:tc>
      </w:tr>
      <w:tr w14:paraId="4345FD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4065" w:type="dxa"/>
            <w:vAlign w:val="top"/>
          </w:tcPr>
          <w:p w14:paraId="1B165CDA">
            <w:pPr>
              <w:pStyle w:val="6"/>
              <w:spacing w:before="187" w:line="185" w:lineRule="auto"/>
              <w:ind w:left="119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10×MOPS</w:t>
            </w:r>
            <w:r>
              <w:rPr>
                <w:spacing w:val="40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Mixture</w:t>
            </w:r>
          </w:p>
        </w:tc>
        <w:tc>
          <w:tcPr>
            <w:tcW w:w="2504" w:type="dxa"/>
            <w:vAlign w:val="top"/>
          </w:tcPr>
          <w:p w14:paraId="54B311FB">
            <w:pPr>
              <w:pStyle w:val="6"/>
              <w:spacing w:before="154" w:line="241" w:lineRule="auto"/>
              <w:ind w:left="13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100</w:t>
            </w:r>
            <w:r>
              <w:rPr>
                <w:spacing w:val="41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ml×5</w:t>
            </w:r>
          </w:p>
        </w:tc>
        <w:tc>
          <w:tcPr>
            <w:tcW w:w="3150" w:type="dxa"/>
            <w:vAlign w:val="top"/>
          </w:tcPr>
          <w:p w14:paraId="5AE538BA">
            <w:pPr>
              <w:pStyle w:val="6"/>
              <w:spacing w:before="130" w:line="218" w:lineRule="auto"/>
              <w:ind w:left="104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-20C,2年有效</w:t>
            </w:r>
          </w:p>
        </w:tc>
      </w:tr>
      <w:tr w14:paraId="4645B0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4065" w:type="dxa"/>
            <w:vAlign w:val="top"/>
          </w:tcPr>
          <w:p w14:paraId="252AA134">
            <w:pPr>
              <w:pStyle w:val="6"/>
              <w:spacing w:before="174" w:line="185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0.132</w:t>
            </w:r>
            <w:r>
              <w:rPr>
                <w:spacing w:val="24"/>
                <w:sz w:val="21"/>
                <w:szCs w:val="21"/>
              </w:rPr>
              <w:t xml:space="preserve">  </w:t>
            </w:r>
            <w:r>
              <w:rPr>
                <w:spacing w:val="-1"/>
                <w:sz w:val="21"/>
                <w:szCs w:val="21"/>
              </w:rPr>
              <w:t>M</w:t>
            </w:r>
            <w:r>
              <w:rPr>
                <w:spacing w:val="23"/>
                <w:sz w:val="21"/>
                <w:szCs w:val="21"/>
              </w:rPr>
              <w:t xml:space="preserve">  </w:t>
            </w:r>
            <w:r>
              <w:rPr>
                <w:spacing w:val="-1"/>
                <w:sz w:val="21"/>
                <w:szCs w:val="21"/>
              </w:rPr>
              <w:t>K</w:t>
            </w:r>
            <w:r>
              <w:rPr>
                <w:rFonts w:ascii="Calibri" w:hAnsi="Calibri" w:eastAsia="Calibri" w:cs="Calibri"/>
                <w:spacing w:val="-1"/>
                <w:sz w:val="21"/>
                <w:szCs w:val="21"/>
              </w:rPr>
              <w:t>₂</w:t>
            </w:r>
            <w:r>
              <w:rPr>
                <w:spacing w:val="-1"/>
                <w:sz w:val="21"/>
                <w:szCs w:val="21"/>
              </w:rPr>
              <w:t>HPO</w:t>
            </w:r>
            <w:r>
              <w:rPr>
                <w:rFonts w:ascii="Calibri" w:hAnsi="Calibri" w:eastAsia="Calibri" w:cs="Calibri"/>
                <w:spacing w:val="-1"/>
                <w:sz w:val="21"/>
                <w:szCs w:val="21"/>
              </w:rPr>
              <w:t>₄</w:t>
            </w:r>
          </w:p>
        </w:tc>
        <w:tc>
          <w:tcPr>
            <w:tcW w:w="2504" w:type="dxa"/>
            <w:vAlign w:val="top"/>
          </w:tcPr>
          <w:p w14:paraId="12758448">
            <w:pPr>
              <w:pStyle w:val="6"/>
              <w:spacing w:before="162" w:line="241" w:lineRule="auto"/>
              <w:ind w:left="133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10</w:t>
            </w:r>
            <w:r>
              <w:rPr>
                <w:spacing w:val="43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ml×5</w:t>
            </w:r>
          </w:p>
        </w:tc>
        <w:tc>
          <w:tcPr>
            <w:tcW w:w="3150" w:type="dxa"/>
            <w:vAlign w:val="top"/>
          </w:tcPr>
          <w:p w14:paraId="35FF48A1">
            <w:pPr>
              <w:pStyle w:val="6"/>
              <w:spacing w:before="138" w:line="218" w:lineRule="auto"/>
              <w:ind w:left="10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RT</w:t>
            </w:r>
            <w:r>
              <w:rPr>
                <w:spacing w:val="3"/>
                <w:sz w:val="21"/>
                <w:szCs w:val="21"/>
              </w:rPr>
              <w:t>,2年有效</w:t>
            </w:r>
          </w:p>
        </w:tc>
      </w:tr>
      <w:tr w14:paraId="321468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4065" w:type="dxa"/>
            <w:vAlign w:val="top"/>
          </w:tcPr>
          <w:p w14:paraId="0F53CB31">
            <w:pPr>
              <w:pStyle w:val="6"/>
              <w:spacing w:before="195" w:line="186" w:lineRule="auto"/>
              <w:ind w:left="119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10×ACGU</w:t>
            </w:r>
          </w:p>
        </w:tc>
        <w:tc>
          <w:tcPr>
            <w:tcW w:w="2504" w:type="dxa"/>
            <w:vAlign w:val="top"/>
          </w:tcPr>
          <w:p w14:paraId="10E8579B">
            <w:pPr>
              <w:pStyle w:val="6"/>
              <w:spacing w:before="164" w:line="241" w:lineRule="auto"/>
              <w:ind w:left="13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100</w:t>
            </w:r>
            <w:r>
              <w:rPr>
                <w:spacing w:val="41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ml×5</w:t>
            </w:r>
          </w:p>
        </w:tc>
        <w:tc>
          <w:tcPr>
            <w:tcW w:w="3150" w:type="dxa"/>
            <w:vAlign w:val="top"/>
          </w:tcPr>
          <w:p w14:paraId="7E5325B8">
            <w:pPr>
              <w:pStyle w:val="6"/>
              <w:spacing w:before="139" w:line="218" w:lineRule="auto"/>
              <w:ind w:left="104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-20C,2年有效</w:t>
            </w:r>
          </w:p>
        </w:tc>
      </w:tr>
      <w:tr w14:paraId="719C42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4065" w:type="dxa"/>
            <w:vAlign w:val="top"/>
          </w:tcPr>
          <w:p w14:paraId="6357E935">
            <w:pPr>
              <w:pStyle w:val="6"/>
              <w:spacing w:before="137" w:line="216" w:lineRule="auto"/>
              <w:ind w:left="119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5×</w:t>
            </w:r>
            <w:r>
              <w:rPr>
                <w:sz w:val="21"/>
                <w:szCs w:val="21"/>
              </w:rPr>
              <w:t>Supplement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EZ</w:t>
            </w:r>
            <w:r>
              <w:rPr>
                <w:spacing w:val="1"/>
                <w:sz w:val="21"/>
                <w:szCs w:val="21"/>
              </w:rPr>
              <w:t>/-</w:t>
            </w:r>
            <w:r>
              <w:rPr>
                <w:sz w:val="21"/>
                <w:szCs w:val="21"/>
              </w:rPr>
              <w:t>Leucine</w:t>
            </w:r>
          </w:p>
        </w:tc>
        <w:tc>
          <w:tcPr>
            <w:tcW w:w="2504" w:type="dxa"/>
            <w:vAlign w:val="top"/>
          </w:tcPr>
          <w:p w14:paraId="6727E868">
            <w:pPr>
              <w:pStyle w:val="6"/>
              <w:spacing w:before="165" w:line="241" w:lineRule="auto"/>
              <w:ind w:left="13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100</w:t>
            </w:r>
            <w:r>
              <w:rPr>
                <w:spacing w:val="43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ml×10</w:t>
            </w:r>
          </w:p>
        </w:tc>
        <w:tc>
          <w:tcPr>
            <w:tcW w:w="3150" w:type="dxa"/>
            <w:vAlign w:val="top"/>
          </w:tcPr>
          <w:p w14:paraId="48A53CCA">
            <w:pPr>
              <w:pStyle w:val="6"/>
              <w:spacing w:before="140" w:line="218" w:lineRule="auto"/>
              <w:ind w:left="104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-20C,2年有效</w:t>
            </w:r>
          </w:p>
        </w:tc>
      </w:tr>
      <w:tr w14:paraId="014C1B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4065" w:type="dxa"/>
            <w:vAlign w:val="top"/>
          </w:tcPr>
          <w:p w14:paraId="488794CD">
            <w:pPr>
              <w:pStyle w:val="6"/>
              <w:spacing w:before="158" w:line="241" w:lineRule="auto"/>
              <w:ind w:left="119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20%Glucose</w:t>
            </w:r>
          </w:p>
        </w:tc>
        <w:tc>
          <w:tcPr>
            <w:tcW w:w="2504" w:type="dxa"/>
            <w:vAlign w:val="top"/>
          </w:tcPr>
          <w:p w14:paraId="673C3D79">
            <w:pPr>
              <w:pStyle w:val="6"/>
              <w:spacing w:before="158" w:line="241" w:lineRule="auto"/>
              <w:ind w:left="133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10</w:t>
            </w:r>
            <w:r>
              <w:rPr>
                <w:spacing w:val="43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ml×5</w:t>
            </w:r>
          </w:p>
        </w:tc>
        <w:tc>
          <w:tcPr>
            <w:tcW w:w="3150" w:type="dxa"/>
            <w:vAlign w:val="top"/>
          </w:tcPr>
          <w:p w14:paraId="15947F1E">
            <w:pPr>
              <w:pStyle w:val="6"/>
              <w:spacing w:before="134" w:line="218" w:lineRule="auto"/>
              <w:ind w:left="10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RT</w:t>
            </w:r>
            <w:r>
              <w:rPr>
                <w:spacing w:val="3"/>
                <w:sz w:val="21"/>
                <w:szCs w:val="21"/>
              </w:rPr>
              <w:t>,1年有效</w:t>
            </w:r>
          </w:p>
        </w:tc>
      </w:tr>
    </w:tbl>
    <w:p w14:paraId="0374E070">
      <w:pPr>
        <w:pStyle w:val="2"/>
        <w:spacing w:before="146" w:line="232" w:lineRule="auto"/>
        <w:ind w:left="1021"/>
        <w:rPr>
          <w:spacing w:val="1"/>
        </w:rPr>
      </w:pPr>
      <w:r>
        <w:rPr>
          <w:spacing w:val="1"/>
        </w:rPr>
        <w:t>注：</w:t>
      </w:r>
    </w:p>
    <w:p w14:paraId="4C9C846F">
      <w:pPr>
        <w:pStyle w:val="2"/>
        <w:spacing w:before="146" w:line="232" w:lineRule="auto"/>
        <w:ind w:left="1021"/>
      </w:pPr>
      <w:r>
        <w:rPr>
          <w:spacing w:val="2"/>
        </w:rPr>
        <w:t>1.本产品均已无菌处理。</w:t>
      </w:r>
    </w:p>
    <w:p w14:paraId="6588449C">
      <w:pPr>
        <w:pStyle w:val="2"/>
        <w:spacing w:before="212" w:line="228" w:lineRule="auto"/>
        <w:ind w:left="1029"/>
      </w:pPr>
      <w:r>
        <w:rPr>
          <w:spacing w:val="5"/>
        </w:rPr>
        <w:t>2.氨基酸、大量元素和</w:t>
      </w:r>
      <w:r>
        <w:t>ACGU</w:t>
      </w:r>
      <w:r>
        <w:rPr>
          <w:spacing w:val="5"/>
        </w:rPr>
        <w:t xml:space="preserve">  等均可以定制。</w:t>
      </w:r>
    </w:p>
    <w:p w14:paraId="0BBD9469">
      <w:pPr>
        <w:pStyle w:val="2"/>
        <w:spacing w:before="217" w:line="227" w:lineRule="auto"/>
        <w:ind w:left="1036"/>
      </w:pPr>
      <w:r>
        <w:rPr>
          <w:spacing w:val="9"/>
        </w:rPr>
        <w:t>3.本产品默认添加了维生素B1</w:t>
      </w:r>
      <w:r>
        <w:rPr>
          <w:spacing w:val="35"/>
        </w:rPr>
        <w:t xml:space="preserve"> </w:t>
      </w:r>
      <w:r>
        <w:rPr>
          <w:spacing w:val="9"/>
        </w:rPr>
        <w:t>(不影响E.</w:t>
      </w:r>
      <w:r>
        <w:t>coli</w:t>
      </w:r>
      <w:r>
        <w:rPr>
          <w:spacing w:val="9"/>
        </w:rPr>
        <w:t xml:space="preserve"> </w:t>
      </w:r>
      <w:r>
        <w:t>K</w:t>
      </w:r>
      <w:r>
        <w:rPr>
          <w:spacing w:val="9"/>
        </w:rPr>
        <w:t xml:space="preserve">-12 </w:t>
      </w:r>
      <w:r>
        <w:t>MG</w:t>
      </w:r>
      <w:r>
        <w:rPr>
          <w:spacing w:val="9"/>
        </w:rPr>
        <w:t>16</w:t>
      </w:r>
      <w:r>
        <w:rPr>
          <w:spacing w:val="8"/>
        </w:rPr>
        <w:t>55的生长)。</w:t>
      </w:r>
    </w:p>
    <w:p w14:paraId="4D904777">
      <w:pPr>
        <w:pStyle w:val="2"/>
        <w:spacing w:before="202" w:line="221" w:lineRule="auto"/>
        <w:ind w:left="1029"/>
      </w:pPr>
      <w:r>
        <w:rPr>
          <w:spacing w:val="3"/>
        </w:rPr>
        <w:t>4.本产品的自然</w:t>
      </w:r>
      <w:r>
        <w:rPr>
          <w:rFonts w:ascii="Times New Roman" w:hAnsi="Times New Roman" w:eastAsia="Times New Roman" w:cs="Times New Roman"/>
        </w:rPr>
        <w:t>pH</w:t>
      </w:r>
      <w:r>
        <w:rPr>
          <w:rFonts w:ascii="Times New Roman" w:hAnsi="Times New Roman" w:eastAsia="Times New Roman" w:cs="Times New Roman"/>
          <w:spacing w:val="3"/>
        </w:rPr>
        <w:t xml:space="preserve"> </w:t>
      </w:r>
      <w:r>
        <w:rPr>
          <w:spacing w:val="3"/>
        </w:rPr>
        <w:t>值为7.0±0.2,使用前请实测</w:t>
      </w:r>
      <w:r>
        <w:rPr>
          <w:rFonts w:ascii="Times New Roman" w:hAnsi="Times New Roman" w:eastAsia="Times New Roman" w:cs="Times New Roman"/>
        </w:rPr>
        <w:t>pH</w:t>
      </w:r>
      <w:r>
        <w:rPr>
          <w:rFonts w:ascii="Times New Roman" w:hAnsi="Times New Roman" w:eastAsia="Times New Roman" w:cs="Times New Roman"/>
          <w:spacing w:val="3"/>
        </w:rPr>
        <w:t xml:space="preserve">,  </w:t>
      </w:r>
      <w:r>
        <w:rPr>
          <w:spacing w:val="3"/>
        </w:rPr>
        <w:t>如需调整</w:t>
      </w:r>
      <w:r>
        <w:rPr>
          <w:spacing w:val="2"/>
        </w:rPr>
        <w:t>，请使用无菌的1</w:t>
      </w:r>
      <w:r>
        <w:rPr>
          <w:rFonts w:ascii="Times New Roman" w:hAnsi="Times New Roman" w:eastAsia="Times New Roman" w:cs="Times New Roman"/>
        </w:rPr>
        <w:t>M</w:t>
      </w:r>
      <w:r>
        <w:rPr>
          <w:rFonts w:ascii="Times New Roman" w:hAnsi="Times New Roman" w:eastAsia="Times New Roman" w:cs="Times New Roman"/>
          <w:spacing w:val="2"/>
        </w:rPr>
        <w:t xml:space="preserve"> </w:t>
      </w:r>
      <w:r>
        <w:rPr>
          <w:rFonts w:ascii="Times New Roman" w:hAnsi="Times New Roman" w:eastAsia="Times New Roman" w:cs="Times New Roman"/>
        </w:rPr>
        <w:t>NaOH</w:t>
      </w:r>
      <w:r>
        <w:rPr>
          <w:spacing w:val="2"/>
        </w:rPr>
        <w:t>或 1</w:t>
      </w:r>
      <w:r>
        <w:rPr>
          <w:rFonts w:ascii="Times New Roman" w:hAnsi="Times New Roman" w:eastAsia="Times New Roman" w:cs="Times New Roman"/>
        </w:rPr>
        <w:t>M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rFonts w:ascii="Times New Roman" w:hAnsi="Times New Roman" w:eastAsia="Times New Roman" w:cs="Times New Roman"/>
        </w:rPr>
        <w:t>HCl</w:t>
      </w:r>
      <w:r>
        <w:rPr>
          <w:spacing w:val="2"/>
        </w:rPr>
        <w:t>调节。</w:t>
      </w:r>
    </w:p>
    <w:p w14:paraId="1CCFCD58">
      <w:pPr>
        <w:pStyle w:val="2"/>
        <w:spacing w:before="69" w:line="228" w:lineRule="auto"/>
        <w:ind w:firstLine="990" w:firstLineChars="500"/>
      </w:pPr>
      <w:r>
        <w:rPr>
          <w:spacing w:val="-6"/>
        </w:rPr>
        <w:t>产品说明：</w:t>
      </w:r>
    </w:p>
    <w:p w14:paraId="51514ED7">
      <w:pPr>
        <w:pStyle w:val="2"/>
        <w:spacing w:before="226" w:line="391" w:lineRule="auto"/>
        <w:ind w:left="1036" w:right="667" w:firstLine="401"/>
      </w:pPr>
      <w:r>
        <w:rPr>
          <w:spacing w:val="-1"/>
        </w:rPr>
        <w:t>EZ Rich Defined Medium/MOPS EZ Rich Defined Medium Kit是一种</w:t>
      </w:r>
      <w:r>
        <w:rPr>
          <w:spacing w:val="-2"/>
        </w:rPr>
        <w:t>成分丰富且稳定的合成培养基</w:t>
      </w:r>
      <w:r>
        <w:t xml:space="preserve"> </w:t>
      </w:r>
      <w:r>
        <w:rPr>
          <w:spacing w:val="-8"/>
        </w:rPr>
        <w:t>主要优点：</w:t>
      </w:r>
    </w:p>
    <w:p w14:paraId="3B597108">
      <w:pPr>
        <w:pStyle w:val="2"/>
        <w:spacing w:before="40" w:line="228" w:lineRule="auto"/>
        <w:ind w:left="1036"/>
      </w:pPr>
      <w:r>
        <w:rPr>
          <w:spacing w:val="4"/>
        </w:rPr>
        <w:t>1.可作为</w:t>
      </w:r>
      <w:r>
        <w:rPr>
          <w:rFonts w:ascii="Times New Roman" w:hAnsi="Times New Roman" w:eastAsia="Times New Roman" w:cs="Times New Roman"/>
          <w:spacing w:val="4"/>
        </w:rPr>
        <w:t xml:space="preserve">M9 </w:t>
      </w:r>
      <w:r>
        <w:rPr>
          <w:spacing w:val="4"/>
        </w:rPr>
        <w:t>培养基的替代品，对于大肠杆菌培养的可重复</w:t>
      </w:r>
      <w:r>
        <w:rPr>
          <w:spacing w:val="3"/>
        </w:rPr>
        <w:t>率高。</w:t>
      </w:r>
    </w:p>
    <w:p w14:paraId="7D9F384E">
      <w:pPr>
        <w:pStyle w:val="2"/>
        <w:spacing w:line="240" w:lineRule="auto"/>
        <w:ind w:left="0" w:right="0" w:firstLine="1080" w:firstLineChars="500"/>
        <w:rPr>
          <w:spacing w:val="3"/>
        </w:rPr>
      </w:pPr>
      <w:r>
        <w:rPr>
          <w:spacing w:val="3"/>
        </w:rPr>
        <w:t>2.各组分浓度已经优化，也可以独立调整(如C,P,N,S)</w:t>
      </w:r>
    </w:p>
    <w:p w14:paraId="2FEB8674">
      <w:pPr>
        <w:pStyle w:val="2"/>
        <w:spacing w:line="240" w:lineRule="auto"/>
        <w:ind w:left="0" w:right="0" w:firstLine="1080" w:firstLineChars="500"/>
      </w:pPr>
      <w:r>
        <w:rPr>
          <w:rFonts w:hint="eastAsia"/>
          <w:spacing w:val="3"/>
          <w:lang w:val="en-US" w:eastAsia="zh-CN"/>
        </w:rPr>
        <w:t>3.</w:t>
      </w:r>
      <w:r>
        <w:rPr>
          <w:spacing w:val="5"/>
        </w:rPr>
        <w:t>大肠杆菌的生长情况与</w:t>
      </w:r>
      <w:r>
        <w:t>LB</w:t>
      </w:r>
      <w:r>
        <w:rPr>
          <w:spacing w:val="5"/>
        </w:rPr>
        <w:t xml:space="preserve"> 培养基相似。</w:t>
      </w:r>
    </w:p>
    <w:p w14:paraId="1AA4E64A">
      <w:pPr>
        <w:pStyle w:val="2"/>
        <w:spacing w:before="37" w:line="228" w:lineRule="auto"/>
        <w:ind w:left="1029"/>
      </w:pPr>
      <w:r>
        <w:rPr>
          <w:spacing w:val="4"/>
        </w:rPr>
        <w:t>4.可用于荧光测量。</w:t>
      </w:r>
    </w:p>
    <w:p w14:paraId="5BE716EB">
      <w:pPr>
        <w:pStyle w:val="2"/>
        <w:spacing w:before="69" w:line="228" w:lineRule="auto"/>
        <w:ind w:firstLine="1164" w:firstLineChars="600"/>
      </w:pPr>
      <w:r>
        <w:rPr>
          <w:spacing w:val="-8"/>
        </w:rPr>
        <w:t>使用说明：</w:t>
      </w:r>
    </w:p>
    <w:p w14:paraId="6A3759CC">
      <w:pPr>
        <w:pStyle w:val="2"/>
        <w:spacing w:before="225" w:line="228" w:lineRule="auto"/>
        <w:ind w:left="1029"/>
      </w:pPr>
      <w:r>
        <w:rPr>
          <w:spacing w:val="11"/>
        </w:rPr>
        <w:t>1.</w:t>
      </w:r>
      <w:r>
        <w:t>EZ</w:t>
      </w:r>
      <w:r>
        <w:rPr>
          <w:spacing w:val="11"/>
        </w:rPr>
        <w:t xml:space="preserve"> </w:t>
      </w:r>
      <w:r>
        <w:t>Rich</w:t>
      </w:r>
      <w:r>
        <w:rPr>
          <w:spacing w:val="24"/>
        </w:rPr>
        <w:t xml:space="preserve"> </w:t>
      </w:r>
      <w:r>
        <w:t>Defined</w:t>
      </w:r>
      <w:r>
        <w:rPr>
          <w:spacing w:val="19"/>
        </w:rPr>
        <w:t xml:space="preserve"> </w:t>
      </w:r>
      <w:r>
        <w:t>Medium</w:t>
      </w:r>
      <w:r>
        <w:rPr>
          <w:spacing w:val="64"/>
        </w:rPr>
        <w:t xml:space="preserve"> </w:t>
      </w:r>
      <w:r>
        <w:rPr>
          <w:spacing w:val="11"/>
        </w:rPr>
        <w:t>(</w:t>
      </w:r>
      <w:r>
        <w:t>EZ</w:t>
      </w:r>
      <w:r>
        <w:rPr>
          <w:spacing w:val="24"/>
        </w:rPr>
        <w:t xml:space="preserve"> </w:t>
      </w:r>
      <w:r>
        <w:t>RDM</w:t>
      </w:r>
      <w:r>
        <w:rPr>
          <w:spacing w:val="11"/>
        </w:rPr>
        <w:t>)液体培养基</w:t>
      </w:r>
    </w:p>
    <w:p w14:paraId="654DE692">
      <w:pPr>
        <w:spacing w:line="77" w:lineRule="exact"/>
      </w:pPr>
    </w:p>
    <w:tbl>
      <w:tblPr>
        <w:tblStyle w:val="5"/>
        <w:tblW w:w="9750" w:type="dxa"/>
        <w:tblInd w:w="10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"/>
        <w:gridCol w:w="3316"/>
        <w:gridCol w:w="1"/>
        <w:gridCol w:w="2004"/>
        <w:gridCol w:w="7"/>
        <w:gridCol w:w="4407"/>
        <w:gridCol w:w="7"/>
      </w:tblGrid>
      <w:tr w14:paraId="2B8BE5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3324" w:type="dxa"/>
            <w:gridSpan w:val="2"/>
            <w:vAlign w:val="top"/>
          </w:tcPr>
          <w:p w14:paraId="648367FD">
            <w:pPr>
              <w:pStyle w:val="6"/>
              <w:spacing w:before="141" w:line="224" w:lineRule="auto"/>
              <w:ind w:left="1462"/>
            </w:pPr>
            <w:r>
              <w:rPr>
                <w:b/>
                <w:bCs/>
                <w:spacing w:val="-3"/>
              </w:rPr>
              <w:t>组分</w:t>
            </w:r>
          </w:p>
        </w:tc>
        <w:tc>
          <w:tcPr>
            <w:tcW w:w="2012" w:type="dxa"/>
            <w:gridSpan w:val="3"/>
            <w:vAlign w:val="top"/>
          </w:tcPr>
          <w:p w14:paraId="4DEFBF34">
            <w:pPr>
              <w:pStyle w:val="6"/>
              <w:spacing w:before="140" w:line="223" w:lineRule="auto"/>
              <w:ind w:left="809"/>
            </w:pPr>
            <w:r>
              <w:rPr>
                <w:b/>
                <w:bCs/>
                <w:spacing w:val="-2"/>
              </w:rPr>
              <w:t>含量</w:t>
            </w:r>
          </w:p>
        </w:tc>
        <w:tc>
          <w:tcPr>
            <w:tcW w:w="4414" w:type="dxa"/>
            <w:gridSpan w:val="2"/>
            <w:vAlign w:val="top"/>
          </w:tcPr>
          <w:p w14:paraId="1647C02C">
            <w:pPr>
              <w:pStyle w:val="6"/>
              <w:spacing w:before="144" w:line="228" w:lineRule="auto"/>
              <w:ind w:left="2006"/>
            </w:pPr>
            <w:r>
              <w:rPr>
                <w:b/>
                <w:bCs/>
                <w:spacing w:val="6"/>
              </w:rPr>
              <w:t>注意</w:t>
            </w:r>
          </w:p>
        </w:tc>
      </w:tr>
      <w:tr w14:paraId="726D96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3324" w:type="dxa"/>
            <w:gridSpan w:val="2"/>
            <w:vAlign w:val="top"/>
          </w:tcPr>
          <w:p w14:paraId="7BB532CA">
            <w:pPr>
              <w:pStyle w:val="6"/>
              <w:spacing w:before="190" w:line="187" w:lineRule="auto"/>
              <w:ind w:left="115"/>
            </w:pPr>
            <w:r>
              <w:rPr>
                <w:b/>
                <w:bCs/>
                <w:spacing w:val="-2"/>
              </w:rPr>
              <w:t>10×MOPS</w:t>
            </w:r>
            <w:r>
              <w:rPr>
                <w:spacing w:val="38"/>
              </w:rPr>
              <w:t xml:space="preserve"> </w:t>
            </w:r>
            <w:r>
              <w:rPr>
                <w:b/>
                <w:bCs/>
                <w:spacing w:val="-2"/>
              </w:rPr>
              <w:t>Mixture</w:t>
            </w:r>
          </w:p>
        </w:tc>
        <w:tc>
          <w:tcPr>
            <w:tcW w:w="2012" w:type="dxa"/>
            <w:gridSpan w:val="3"/>
            <w:vAlign w:val="top"/>
          </w:tcPr>
          <w:p w14:paraId="38F033CE">
            <w:pPr>
              <w:pStyle w:val="6"/>
              <w:spacing w:before="145" w:line="228" w:lineRule="auto"/>
              <w:ind w:left="128"/>
            </w:pPr>
            <w:r>
              <w:rPr>
                <w:b/>
                <w:bCs/>
                <w:spacing w:val="-4"/>
              </w:rPr>
              <w:t>100</w:t>
            </w:r>
            <w:r>
              <w:rPr>
                <w:spacing w:val="30"/>
              </w:rPr>
              <w:t xml:space="preserve"> </w:t>
            </w:r>
            <w:r>
              <w:rPr>
                <w:b/>
                <w:bCs/>
                <w:spacing w:val="-4"/>
              </w:rPr>
              <w:t>ml/L</w:t>
            </w:r>
          </w:p>
        </w:tc>
        <w:tc>
          <w:tcPr>
            <w:tcW w:w="4414" w:type="dxa"/>
            <w:gridSpan w:val="2"/>
            <w:vAlign w:val="top"/>
          </w:tcPr>
          <w:p w14:paraId="58D45807">
            <w:pPr>
              <w:pStyle w:val="6"/>
              <w:spacing w:before="140" w:line="223" w:lineRule="auto"/>
              <w:ind w:left="126"/>
            </w:pPr>
            <w:r>
              <w:rPr>
                <w:color w:val="auto"/>
                <w:spacing w:val="6"/>
              </w:rPr>
              <w:t>可能会有沉淀</w:t>
            </w:r>
          </w:p>
        </w:tc>
      </w:tr>
      <w:tr w14:paraId="6554DC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24" w:type="dxa"/>
            <w:gridSpan w:val="2"/>
            <w:vAlign w:val="top"/>
          </w:tcPr>
          <w:p w14:paraId="2796CCDB">
            <w:pPr>
              <w:pStyle w:val="6"/>
              <w:spacing w:before="175" w:line="187" w:lineRule="auto"/>
              <w:ind w:left="115"/>
            </w:pPr>
            <w:r>
              <w:rPr>
                <w:b/>
                <w:bCs/>
                <w:spacing w:val="-2"/>
              </w:rPr>
              <w:t>0.132</w:t>
            </w:r>
            <w:r>
              <w:rPr>
                <w:spacing w:val="87"/>
              </w:rPr>
              <w:t xml:space="preserve"> </w:t>
            </w:r>
            <w:r>
              <w:rPr>
                <w:b/>
                <w:bCs/>
                <w:spacing w:val="-2"/>
              </w:rPr>
              <w:t>M</w:t>
            </w:r>
            <w:r>
              <w:rPr>
                <w:spacing w:val="82"/>
              </w:rPr>
              <w:t xml:space="preserve"> </w:t>
            </w:r>
            <w:r>
              <w:rPr>
                <w:b/>
                <w:bCs/>
                <w:spacing w:val="-2"/>
              </w:rPr>
              <w:t>K</w:t>
            </w:r>
            <w:r>
              <w:rPr>
                <w:rFonts w:ascii="Calibri" w:hAnsi="Calibri" w:eastAsia="Calibri" w:cs="Calibri"/>
                <w:b/>
                <w:bCs/>
                <w:spacing w:val="-2"/>
              </w:rPr>
              <w:t>₂</w:t>
            </w:r>
            <w:r>
              <w:rPr>
                <w:b/>
                <w:bCs/>
                <w:spacing w:val="-2"/>
              </w:rPr>
              <w:t>HPO4</w:t>
            </w:r>
          </w:p>
        </w:tc>
        <w:tc>
          <w:tcPr>
            <w:tcW w:w="2012" w:type="dxa"/>
            <w:gridSpan w:val="3"/>
            <w:vAlign w:val="top"/>
          </w:tcPr>
          <w:p w14:paraId="00AF3DCA">
            <w:pPr>
              <w:pStyle w:val="6"/>
              <w:spacing w:before="146" w:line="228" w:lineRule="auto"/>
              <w:ind w:left="128"/>
            </w:pPr>
            <w:r>
              <w:rPr>
                <w:b/>
                <w:bCs/>
                <w:spacing w:val="-5"/>
              </w:rPr>
              <w:t>10</w:t>
            </w:r>
            <w:r>
              <w:rPr>
                <w:spacing w:val="35"/>
              </w:rPr>
              <w:t xml:space="preserve"> </w:t>
            </w:r>
            <w:r>
              <w:rPr>
                <w:b/>
                <w:bCs/>
                <w:spacing w:val="-5"/>
              </w:rPr>
              <w:t>ml/L</w:t>
            </w:r>
          </w:p>
        </w:tc>
        <w:tc>
          <w:tcPr>
            <w:tcW w:w="4414" w:type="dxa"/>
            <w:gridSpan w:val="2"/>
            <w:vAlign w:val="top"/>
          </w:tcPr>
          <w:p w14:paraId="43DA036B">
            <w:pPr>
              <w:rPr>
                <w:rFonts w:ascii="Arial"/>
                <w:sz w:val="21"/>
              </w:rPr>
            </w:pPr>
          </w:p>
        </w:tc>
      </w:tr>
      <w:tr w14:paraId="116BE4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8" w:type="dxa"/>
          <w:wAfter w:w="7" w:type="dxa"/>
          <w:trHeight w:val="489" w:hRule="atLeast"/>
        </w:trPr>
        <w:tc>
          <w:tcPr>
            <w:tcW w:w="3317" w:type="dxa"/>
            <w:gridSpan w:val="2"/>
            <w:vAlign w:val="top"/>
          </w:tcPr>
          <w:p w14:paraId="064D5F02">
            <w:pPr>
              <w:pStyle w:val="6"/>
              <w:spacing w:before="198" w:line="189" w:lineRule="auto"/>
              <w:ind w:left="107"/>
              <w:rPr>
                <w:sz w:val="19"/>
                <w:szCs w:val="19"/>
              </w:rPr>
            </w:pPr>
            <w:r>
              <w:rPr>
                <w:b/>
                <w:bCs/>
                <w:spacing w:val="-2"/>
                <w:sz w:val="19"/>
                <w:szCs w:val="19"/>
              </w:rPr>
              <w:t>10×ACGU</w:t>
            </w:r>
          </w:p>
        </w:tc>
        <w:tc>
          <w:tcPr>
            <w:tcW w:w="2004" w:type="dxa"/>
            <w:vAlign w:val="top"/>
          </w:tcPr>
          <w:p w14:paraId="115C0A52">
            <w:pPr>
              <w:pStyle w:val="6"/>
              <w:spacing w:before="153" w:line="231" w:lineRule="auto"/>
              <w:ind w:left="128"/>
              <w:rPr>
                <w:sz w:val="19"/>
                <w:szCs w:val="19"/>
              </w:rPr>
            </w:pPr>
            <w:r>
              <w:rPr>
                <w:b/>
                <w:bCs/>
                <w:spacing w:val="-3"/>
                <w:sz w:val="19"/>
                <w:szCs w:val="19"/>
              </w:rPr>
              <w:t>100</w:t>
            </w:r>
            <w:r>
              <w:rPr>
                <w:spacing w:val="33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3"/>
                <w:sz w:val="19"/>
                <w:szCs w:val="19"/>
              </w:rPr>
              <w:t>ml/L</w:t>
            </w:r>
          </w:p>
        </w:tc>
        <w:tc>
          <w:tcPr>
            <w:tcW w:w="4414" w:type="dxa"/>
            <w:gridSpan w:val="2"/>
            <w:vAlign w:val="top"/>
          </w:tcPr>
          <w:p w14:paraId="7B1E7742">
            <w:pPr>
              <w:rPr>
                <w:rFonts w:ascii="Arial"/>
                <w:sz w:val="21"/>
              </w:rPr>
            </w:pPr>
          </w:p>
        </w:tc>
      </w:tr>
      <w:tr w14:paraId="3EA3F4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8" w:type="dxa"/>
          <w:wAfter w:w="7" w:type="dxa"/>
          <w:trHeight w:val="463" w:hRule="atLeast"/>
        </w:trPr>
        <w:tc>
          <w:tcPr>
            <w:tcW w:w="3317" w:type="dxa"/>
            <w:gridSpan w:val="2"/>
            <w:vAlign w:val="top"/>
          </w:tcPr>
          <w:p w14:paraId="7294A407">
            <w:pPr>
              <w:pStyle w:val="6"/>
              <w:spacing w:before="132" w:line="221" w:lineRule="auto"/>
              <w:ind w:left="107"/>
              <w:rPr>
                <w:sz w:val="19"/>
                <w:szCs w:val="19"/>
              </w:rPr>
            </w:pPr>
            <w:r>
              <w:rPr>
                <w:b/>
                <w:bCs/>
                <w:spacing w:val="4"/>
                <w:sz w:val="19"/>
                <w:szCs w:val="19"/>
              </w:rPr>
              <w:t>5×</w:t>
            </w:r>
            <w:r>
              <w:rPr>
                <w:b/>
                <w:bCs/>
                <w:sz w:val="19"/>
                <w:szCs w:val="19"/>
              </w:rPr>
              <w:t>Supplement</w:t>
            </w:r>
            <w:r>
              <w:rPr>
                <w:spacing w:val="27"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EZ</w:t>
            </w:r>
            <w:r>
              <w:rPr>
                <w:b/>
                <w:bCs/>
                <w:spacing w:val="4"/>
                <w:sz w:val="19"/>
                <w:szCs w:val="19"/>
              </w:rPr>
              <w:t>/-</w:t>
            </w:r>
            <w:r>
              <w:rPr>
                <w:b/>
                <w:bCs/>
                <w:sz w:val="19"/>
                <w:szCs w:val="19"/>
              </w:rPr>
              <w:t>Leucine</w:t>
            </w:r>
          </w:p>
        </w:tc>
        <w:tc>
          <w:tcPr>
            <w:tcW w:w="2004" w:type="dxa"/>
            <w:vAlign w:val="top"/>
          </w:tcPr>
          <w:p w14:paraId="4DBC7E8E">
            <w:pPr>
              <w:pStyle w:val="6"/>
              <w:spacing w:before="143" w:line="231" w:lineRule="auto"/>
              <w:ind w:left="128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200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ml/L</w:t>
            </w:r>
          </w:p>
        </w:tc>
        <w:tc>
          <w:tcPr>
            <w:tcW w:w="4414" w:type="dxa"/>
            <w:gridSpan w:val="2"/>
            <w:vAlign w:val="top"/>
          </w:tcPr>
          <w:p w14:paraId="09788A4A">
            <w:pPr>
              <w:pStyle w:val="6"/>
              <w:spacing w:before="140" w:line="226" w:lineRule="auto"/>
              <w:ind w:left="141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低温可能沉淀析出，溶解后使用</w:t>
            </w:r>
          </w:p>
        </w:tc>
      </w:tr>
      <w:tr w14:paraId="597D04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8" w:type="dxa"/>
          <w:wAfter w:w="7" w:type="dxa"/>
          <w:trHeight w:val="471" w:hRule="atLeast"/>
        </w:trPr>
        <w:tc>
          <w:tcPr>
            <w:tcW w:w="3317" w:type="dxa"/>
            <w:gridSpan w:val="2"/>
            <w:vAlign w:val="top"/>
          </w:tcPr>
          <w:p w14:paraId="2734B7D7">
            <w:pPr>
              <w:pStyle w:val="6"/>
              <w:spacing w:before="143" w:line="226" w:lineRule="auto"/>
              <w:ind w:left="107"/>
              <w:rPr>
                <w:sz w:val="19"/>
                <w:szCs w:val="19"/>
              </w:rPr>
            </w:pPr>
            <w:r>
              <w:rPr>
                <w:b/>
                <w:bCs/>
                <w:spacing w:val="-1"/>
                <w:sz w:val="19"/>
                <w:szCs w:val="19"/>
              </w:rPr>
              <w:t>sterile</w:t>
            </w:r>
            <w:r>
              <w:rPr>
                <w:spacing w:val="31"/>
                <w:sz w:val="19"/>
                <w:szCs w:val="19"/>
              </w:rPr>
              <w:t xml:space="preserve">  </w:t>
            </w:r>
            <w:r>
              <w:rPr>
                <w:b/>
                <w:bCs/>
                <w:spacing w:val="-1"/>
                <w:sz w:val="19"/>
                <w:szCs w:val="19"/>
              </w:rPr>
              <w:t>H</w:t>
            </w:r>
            <w:r>
              <w:rPr>
                <w:rFonts w:ascii="Calibri" w:hAnsi="Calibri" w:eastAsia="Calibri" w:cs="Calibri"/>
                <w:b/>
                <w:bCs/>
                <w:spacing w:val="-1"/>
                <w:sz w:val="19"/>
                <w:szCs w:val="19"/>
              </w:rPr>
              <w:t>₂</w:t>
            </w:r>
            <w:r>
              <w:rPr>
                <w:b/>
                <w:bCs/>
                <w:spacing w:val="-1"/>
                <w:sz w:val="19"/>
                <w:szCs w:val="19"/>
              </w:rPr>
              <w:t>O</w:t>
            </w:r>
          </w:p>
        </w:tc>
        <w:tc>
          <w:tcPr>
            <w:tcW w:w="2004" w:type="dxa"/>
            <w:vAlign w:val="top"/>
          </w:tcPr>
          <w:p w14:paraId="6CAF2C6F">
            <w:pPr>
              <w:pStyle w:val="6"/>
              <w:spacing w:before="144" w:line="231" w:lineRule="auto"/>
              <w:ind w:left="128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580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ml/L</w:t>
            </w:r>
          </w:p>
        </w:tc>
        <w:tc>
          <w:tcPr>
            <w:tcW w:w="4414" w:type="dxa"/>
            <w:gridSpan w:val="2"/>
            <w:vAlign w:val="top"/>
          </w:tcPr>
          <w:p w14:paraId="037FF980">
            <w:pPr>
              <w:rPr>
                <w:rFonts w:ascii="Arial"/>
                <w:sz w:val="21"/>
              </w:rPr>
            </w:pPr>
          </w:p>
        </w:tc>
      </w:tr>
      <w:tr w14:paraId="762AA3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8" w:type="dxa"/>
          <w:wAfter w:w="7" w:type="dxa"/>
          <w:trHeight w:val="489" w:hRule="atLeast"/>
        </w:trPr>
        <w:tc>
          <w:tcPr>
            <w:tcW w:w="3317" w:type="dxa"/>
            <w:gridSpan w:val="2"/>
            <w:vAlign w:val="top"/>
          </w:tcPr>
          <w:p w14:paraId="6509EF2F">
            <w:pPr>
              <w:pStyle w:val="6"/>
              <w:spacing w:before="169" w:line="253" w:lineRule="exact"/>
              <w:ind w:left="107"/>
              <w:rPr>
                <w:sz w:val="19"/>
                <w:szCs w:val="19"/>
              </w:rPr>
            </w:pPr>
            <w:r>
              <w:rPr>
                <w:b/>
                <w:bCs/>
                <w:position w:val="1"/>
                <w:sz w:val="19"/>
                <w:szCs w:val="19"/>
              </w:rPr>
              <w:t>Total</w:t>
            </w:r>
          </w:p>
        </w:tc>
        <w:tc>
          <w:tcPr>
            <w:tcW w:w="2004" w:type="dxa"/>
            <w:vAlign w:val="top"/>
          </w:tcPr>
          <w:p w14:paraId="2BF4CAE5">
            <w:pPr>
              <w:pStyle w:val="6"/>
              <w:spacing w:before="153" w:line="231" w:lineRule="auto"/>
              <w:ind w:left="128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990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ml/L</w:t>
            </w:r>
          </w:p>
        </w:tc>
        <w:tc>
          <w:tcPr>
            <w:tcW w:w="4414" w:type="dxa"/>
            <w:gridSpan w:val="2"/>
            <w:vAlign w:val="top"/>
          </w:tcPr>
          <w:p w14:paraId="1364EE4E">
            <w:pPr>
              <w:rPr>
                <w:rFonts w:ascii="Arial"/>
                <w:sz w:val="21"/>
              </w:rPr>
            </w:pPr>
          </w:p>
        </w:tc>
      </w:tr>
    </w:tbl>
    <w:p w14:paraId="44FF29A8">
      <w:pPr>
        <w:pStyle w:val="2"/>
        <w:spacing w:before="146" w:line="374" w:lineRule="auto"/>
        <w:ind w:left="1052" w:right="504" w:firstLine="416"/>
        <w:rPr>
          <w:spacing w:val="8"/>
        </w:rPr>
      </w:pPr>
    </w:p>
    <w:p w14:paraId="16B65EF2">
      <w:pPr>
        <w:pStyle w:val="2"/>
        <w:spacing w:before="146" w:line="374" w:lineRule="auto"/>
        <w:ind w:left="1052" w:right="504" w:firstLine="416"/>
        <w:rPr>
          <w:spacing w:val="8"/>
        </w:rPr>
      </w:pPr>
    </w:p>
    <w:p w14:paraId="0A67C0DE">
      <w:pPr>
        <w:pStyle w:val="2"/>
        <w:spacing w:before="146" w:line="374" w:lineRule="auto"/>
        <w:ind w:left="1052" w:right="504" w:firstLine="416"/>
        <w:rPr>
          <w:spacing w:val="8"/>
        </w:rPr>
      </w:pPr>
    </w:p>
    <w:p w14:paraId="21F05A52">
      <w:pPr>
        <w:pStyle w:val="2"/>
        <w:spacing w:before="146" w:line="374" w:lineRule="auto"/>
        <w:ind w:left="1052" w:right="504" w:firstLine="416"/>
        <w:rPr>
          <w:spacing w:val="8"/>
        </w:rPr>
      </w:pPr>
    </w:p>
    <w:p w14:paraId="19525CAF">
      <w:pPr>
        <w:pStyle w:val="2"/>
        <w:spacing w:before="146" w:line="374" w:lineRule="auto"/>
        <w:ind w:left="1052" w:right="504" w:firstLine="416"/>
        <w:rPr>
          <w:spacing w:val="8"/>
        </w:rPr>
      </w:pPr>
    </w:p>
    <w:p w14:paraId="42DA818A">
      <w:pPr>
        <w:pStyle w:val="2"/>
        <w:spacing w:before="146" w:line="374" w:lineRule="auto"/>
        <w:ind w:left="1052" w:right="504" w:firstLine="416"/>
        <w:rPr>
          <w:spacing w:val="8"/>
        </w:rPr>
      </w:pPr>
    </w:p>
    <w:p w14:paraId="46FE5FB5">
      <w:pPr>
        <w:pStyle w:val="2"/>
        <w:spacing w:before="146" w:line="374" w:lineRule="auto"/>
        <w:ind w:left="1052" w:right="504" w:firstLine="416"/>
        <w:rPr>
          <w:spacing w:val="8"/>
        </w:rPr>
      </w:pPr>
    </w:p>
    <w:p w14:paraId="0AC6A3BD">
      <w:pPr>
        <w:pStyle w:val="2"/>
        <w:spacing w:before="146" w:line="374" w:lineRule="auto"/>
        <w:ind w:left="1052" w:right="504" w:firstLine="416"/>
      </w:pPr>
      <w:r>
        <w:rPr>
          <w:spacing w:val="8"/>
        </w:rPr>
        <w:t>按照上述比例混匀，定容至990</w:t>
      </w:r>
      <w:r>
        <w:t>ml</w:t>
      </w:r>
      <w:r>
        <w:rPr>
          <w:spacing w:val="8"/>
        </w:rPr>
        <w:t>,</w:t>
      </w:r>
      <w:r>
        <w:rPr>
          <w:spacing w:val="-15"/>
        </w:rPr>
        <w:t xml:space="preserve"> </w:t>
      </w:r>
      <w:r>
        <w:rPr>
          <w:spacing w:val="8"/>
        </w:rPr>
        <w:t>使用前加入10</w:t>
      </w:r>
      <w:r>
        <w:t>ml</w:t>
      </w:r>
      <w:r>
        <w:rPr>
          <w:spacing w:val="65"/>
        </w:rPr>
        <w:t xml:space="preserve"> </w:t>
      </w:r>
      <w:r>
        <w:rPr>
          <w:spacing w:val="8"/>
        </w:rPr>
        <w:t>20%</w:t>
      </w:r>
      <w:r>
        <w:t>Glucose</w:t>
      </w:r>
      <w:r>
        <w:rPr>
          <w:spacing w:val="8"/>
        </w:rPr>
        <w:t>(碳源可</w:t>
      </w:r>
      <w:r>
        <w:rPr>
          <w:spacing w:val="7"/>
        </w:rPr>
        <w:t>以是葡萄糖、蔗糖、甘油</w:t>
      </w:r>
      <w:r>
        <w:t xml:space="preserve"> </w:t>
      </w:r>
      <w:r>
        <w:rPr>
          <w:spacing w:val="3"/>
        </w:rPr>
        <w:t>等，使其终浓度为0.1-0.2%)。</w:t>
      </w:r>
    </w:p>
    <w:p w14:paraId="4175013A">
      <w:pPr>
        <w:pStyle w:val="2"/>
        <w:spacing w:before="69" w:line="228" w:lineRule="auto"/>
        <w:ind w:left="1014"/>
      </w:pPr>
      <w:bookmarkStart w:id="0" w:name="_GoBack"/>
      <w:bookmarkEnd w:id="0"/>
      <w:r>
        <w:rPr>
          <w:spacing w:val="-1"/>
        </w:rPr>
        <w:t>2.EZ Rich Defined Medium</w:t>
      </w:r>
      <w:r>
        <w:rPr>
          <w:spacing w:val="-2"/>
        </w:rPr>
        <w:t xml:space="preserve"> Plates</w:t>
      </w:r>
      <w:r>
        <w:rPr>
          <w:spacing w:val="43"/>
        </w:rPr>
        <w:t xml:space="preserve"> </w:t>
      </w:r>
      <w:r>
        <w:rPr>
          <w:spacing w:val="-2"/>
        </w:rPr>
        <w:t>(EZ RDM Plates)固体培养基</w:t>
      </w:r>
    </w:p>
    <w:p w14:paraId="3048A642">
      <w:pPr>
        <w:spacing w:before="9"/>
      </w:pPr>
    </w:p>
    <w:tbl>
      <w:tblPr>
        <w:tblStyle w:val="5"/>
        <w:tblW w:w="9712" w:type="dxa"/>
        <w:tblInd w:w="102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09"/>
        <w:gridCol w:w="2020"/>
        <w:gridCol w:w="4383"/>
      </w:tblGrid>
      <w:tr w14:paraId="089CA7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3309" w:type="dxa"/>
            <w:vAlign w:val="top"/>
          </w:tcPr>
          <w:p w14:paraId="0BC5BDBB">
            <w:pPr>
              <w:pStyle w:val="6"/>
              <w:spacing w:before="150" w:line="225" w:lineRule="auto"/>
              <w:ind w:left="107"/>
            </w:pPr>
            <w:r>
              <w:rPr>
                <w:b/>
                <w:bCs/>
                <w:spacing w:val="-3"/>
              </w:rPr>
              <w:t>名称</w:t>
            </w:r>
          </w:p>
        </w:tc>
        <w:tc>
          <w:tcPr>
            <w:tcW w:w="2020" w:type="dxa"/>
            <w:vAlign w:val="top"/>
          </w:tcPr>
          <w:p w14:paraId="08E3C220">
            <w:pPr>
              <w:pStyle w:val="6"/>
              <w:spacing w:before="148" w:line="223" w:lineRule="auto"/>
              <w:ind w:left="113"/>
            </w:pPr>
            <w:r>
              <w:rPr>
                <w:b/>
                <w:bCs/>
                <w:spacing w:val="-2"/>
              </w:rPr>
              <w:t>含量</w:t>
            </w:r>
          </w:p>
        </w:tc>
        <w:tc>
          <w:tcPr>
            <w:tcW w:w="4383" w:type="dxa"/>
            <w:vAlign w:val="top"/>
          </w:tcPr>
          <w:p w14:paraId="55CD9C7D">
            <w:pPr>
              <w:pStyle w:val="6"/>
              <w:spacing w:before="152" w:line="228" w:lineRule="auto"/>
              <w:ind w:left="129"/>
            </w:pPr>
            <w:r>
              <w:rPr>
                <w:b/>
                <w:bCs/>
                <w:spacing w:val="6"/>
              </w:rPr>
              <w:t>注意</w:t>
            </w:r>
          </w:p>
        </w:tc>
      </w:tr>
      <w:tr w14:paraId="056A1F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9712" w:type="dxa"/>
            <w:gridSpan w:val="3"/>
            <w:vAlign w:val="top"/>
          </w:tcPr>
          <w:p w14:paraId="1E969BFA">
            <w:pPr>
              <w:pStyle w:val="6"/>
              <w:spacing w:before="148" w:line="224" w:lineRule="auto"/>
              <w:ind w:left="4547"/>
            </w:pPr>
            <w:r>
              <w:rPr>
                <w:spacing w:val="10"/>
              </w:rPr>
              <w:t>组分一</w:t>
            </w:r>
          </w:p>
        </w:tc>
      </w:tr>
      <w:tr w14:paraId="10F2CB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3309" w:type="dxa"/>
            <w:vAlign w:val="top"/>
          </w:tcPr>
          <w:p w14:paraId="59090CD5">
            <w:pPr>
              <w:pStyle w:val="6"/>
              <w:spacing w:before="182" w:line="187" w:lineRule="auto"/>
              <w:ind w:left="107"/>
            </w:pPr>
            <w:r>
              <w:rPr>
                <w:b/>
                <w:bCs/>
                <w:spacing w:val="-2"/>
              </w:rPr>
              <w:t>10×MOPS</w:t>
            </w:r>
            <w:r>
              <w:rPr>
                <w:spacing w:val="38"/>
              </w:rPr>
              <w:t xml:space="preserve"> </w:t>
            </w:r>
            <w:r>
              <w:rPr>
                <w:b/>
                <w:bCs/>
                <w:spacing w:val="-2"/>
              </w:rPr>
              <w:t>Mixture</w:t>
            </w:r>
          </w:p>
        </w:tc>
        <w:tc>
          <w:tcPr>
            <w:tcW w:w="2020" w:type="dxa"/>
            <w:vAlign w:val="top"/>
          </w:tcPr>
          <w:p w14:paraId="7FB819BB">
            <w:pPr>
              <w:pStyle w:val="6"/>
              <w:spacing w:before="139" w:line="228" w:lineRule="auto"/>
              <w:ind w:left="110"/>
            </w:pPr>
            <w:r>
              <w:rPr>
                <w:spacing w:val="-2"/>
              </w:rPr>
              <w:t>100</w:t>
            </w:r>
            <w:r>
              <w:rPr>
                <w:spacing w:val="36"/>
              </w:rPr>
              <w:t xml:space="preserve"> </w:t>
            </w:r>
            <w:r>
              <w:rPr>
                <w:spacing w:val="-2"/>
              </w:rPr>
              <w:t>ml/L</w:t>
            </w:r>
          </w:p>
        </w:tc>
        <w:tc>
          <w:tcPr>
            <w:tcW w:w="4383" w:type="dxa"/>
            <w:vAlign w:val="top"/>
          </w:tcPr>
          <w:p w14:paraId="17879C57">
            <w:pPr>
              <w:pStyle w:val="6"/>
              <w:spacing w:before="132" w:line="223" w:lineRule="auto"/>
              <w:ind w:left="126"/>
            </w:pPr>
            <w:r>
              <w:rPr>
                <w:spacing w:val="6"/>
              </w:rPr>
              <w:t>可能会有沉淀</w:t>
            </w:r>
          </w:p>
        </w:tc>
      </w:tr>
      <w:tr w14:paraId="2A4DE8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3309" w:type="dxa"/>
            <w:vAlign w:val="top"/>
          </w:tcPr>
          <w:p w14:paraId="281D8AE7">
            <w:pPr>
              <w:pStyle w:val="6"/>
              <w:spacing w:before="165" w:line="187" w:lineRule="auto"/>
              <w:ind w:left="107"/>
              <w:rPr>
                <w:rFonts w:ascii="Calibri" w:hAnsi="Calibri" w:eastAsia="Calibri" w:cs="Calibri"/>
              </w:rPr>
            </w:pPr>
            <w:r>
              <w:rPr>
                <w:b/>
                <w:bCs/>
                <w:spacing w:val="-1"/>
              </w:rPr>
              <w:t>0.132M</w:t>
            </w:r>
            <w:r>
              <w:rPr>
                <w:spacing w:val="28"/>
              </w:rPr>
              <w:t xml:space="preserve">   </w:t>
            </w:r>
            <w:r>
              <w:rPr>
                <w:b/>
                <w:bCs/>
                <w:spacing w:val="-1"/>
              </w:rPr>
              <w:t>K</w:t>
            </w:r>
            <w:r>
              <w:rPr>
                <w:rFonts w:ascii="Calibri" w:hAnsi="Calibri" w:eastAsia="Calibri" w:cs="Calibri"/>
                <w:b/>
                <w:bCs/>
                <w:spacing w:val="-1"/>
              </w:rPr>
              <w:t>₂</w:t>
            </w:r>
            <w:r>
              <w:rPr>
                <w:b/>
                <w:bCs/>
                <w:spacing w:val="-1"/>
              </w:rPr>
              <w:t>HPO</w:t>
            </w:r>
            <w:r>
              <w:rPr>
                <w:rFonts w:ascii="Calibri" w:hAnsi="Calibri" w:eastAsia="Calibri" w:cs="Calibri"/>
                <w:b/>
                <w:bCs/>
                <w:spacing w:val="-1"/>
              </w:rPr>
              <w:t>₄</w:t>
            </w:r>
          </w:p>
        </w:tc>
        <w:tc>
          <w:tcPr>
            <w:tcW w:w="2020" w:type="dxa"/>
            <w:vAlign w:val="top"/>
          </w:tcPr>
          <w:p w14:paraId="77B81308">
            <w:pPr>
              <w:pStyle w:val="6"/>
              <w:spacing w:before="139" w:line="228" w:lineRule="auto"/>
              <w:ind w:left="110"/>
            </w:pPr>
            <w:r>
              <w:rPr>
                <w:spacing w:val="-3"/>
              </w:rPr>
              <w:t>10</w:t>
            </w:r>
            <w:r>
              <w:rPr>
                <w:spacing w:val="42"/>
              </w:rPr>
              <w:t xml:space="preserve"> </w:t>
            </w:r>
            <w:r>
              <w:rPr>
                <w:spacing w:val="-3"/>
              </w:rPr>
              <w:t>ml/L</w:t>
            </w:r>
          </w:p>
        </w:tc>
        <w:tc>
          <w:tcPr>
            <w:tcW w:w="4383" w:type="dxa"/>
            <w:vAlign w:val="top"/>
          </w:tcPr>
          <w:p w14:paraId="4EA4F348">
            <w:pPr>
              <w:rPr>
                <w:rFonts w:ascii="Arial"/>
                <w:sz w:val="21"/>
              </w:rPr>
            </w:pPr>
          </w:p>
        </w:tc>
      </w:tr>
      <w:tr w14:paraId="7FF237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3309" w:type="dxa"/>
            <w:vAlign w:val="top"/>
          </w:tcPr>
          <w:p w14:paraId="5E029C63">
            <w:pPr>
              <w:pStyle w:val="6"/>
              <w:spacing w:before="200" w:line="187" w:lineRule="auto"/>
              <w:ind w:left="104"/>
            </w:pPr>
            <w:r>
              <w:rPr>
                <w:spacing w:val="-1"/>
              </w:rPr>
              <w:t>10×ACGU</w:t>
            </w:r>
          </w:p>
        </w:tc>
        <w:tc>
          <w:tcPr>
            <w:tcW w:w="2020" w:type="dxa"/>
            <w:vAlign w:val="top"/>
          </w:tcPr>
          <w:p w14:paraId="3F685496">
            <w:pPr>
              <w:pStyle w:val="6"/>
              <w:spacing w:before="155" w:line="228" w:lineRule="auto"/>
              <w:ind w:left="110"/>
            </w:pPr>
            <w:r>
              <w:rPr>
                <w:spacing w:val="-2"/>
              </w:rPr>
              <w:t>100</w:t>
            </w:r>
            <w:r>
              <w:rPr>
                <w:spacing w:val="36"/>
              </w:rPr>
              <w:t xml:space="preserve"> </w:t>
            </w:r>
            <w:r>
              <w:rPr>
                <w:spacing w:val="-2"/>
              </w:rPr>
              <w:t>ml/L</w:t>
            </w:r>
          </w:p>
        </w:tc>
        <w:tc>
          <w:tcPr>
            <w:tcW w:w="4383" w:type="dxa"/>
            <w:vAlign w:val="top"/>
          </w:tcPr>
          <w:p w14:paraId="190FF2AD">
            <w:pPr>
              <w:rPr>
                <w:rFonts w:ascii="Arial"/>
                <w:sz w:val="21"/>
              </w:rPr>
            </w:pPr>
          </w:p>
        </w:tc>
      </w:tr>
      <w:tr w14:paraId="26CB77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3309" w:type="dxa"/>
            <w:vAlign w:val="top"/>
          </w:tcPr>
          <w:p w14:paraId="039CA714">
            <w:pPr>
              <w:pStyle w:val="6"/>
              <w:spacing w:before="141" w:line="218" w:lineRule="auto"/>
              <w:ind w:left="107"/>
            </w:pPr>
            <w:r>
              <w:rPr>
                <w:b/>
                <w:bCs/>
                <w:spacing w:val="-1"/>
              </w:rPr>
              <w:t>5×Supplement</w:t>
            </w:r>
            <w:r>
              <w:rPr>
                <w:spacing w:val="37"/>
              </w:rPr>
              <w:t xml:space="preserve"> </w:t>
            </w:r>
            <w:r>
              <w:rPr>
                <w:b/>
                <w:bCs/>
                <w:spacing w:val="-1"/>
              </w:rPr>
              <w:t>EZ/-Leucine</w:t>
            </w:r>
          </w:p>
        </w:tc>
        <w:tc>
          <w:tcPr>
            <w:tcW w:w="2020" w:type="dxa"/>
            <w:vAlign w:val="top"/>
          </w:tcPr>
          <w:p w14:paraId="6FF3058B">
            <w:pPr>
              <w:pStyle w:val="6"/>
              <w:spacing w:before="155" w:line="228" w:lineRule="auto"/>
              <w:ind w:left="110"/>
            </w:pPr>
            <w:r>
              <w:t>200</w:t>
            </w:r>
            <w:r>
              <w:rPr>
                <w:spacing w:val="22"/>
              </w:rPr>
              <w:t xml:space="preserve"> </w:t>
            </w:r>
            <w:r>
              <w:t>ml/L</w:t>
            </w:r>
          </w:p>
        </w:tc>
        <w:tc>
          <w:tcPr>
            <w:tcW w:w="4383" w:type="dxa"/>
            <w:vAlign w:val="top"/>
          </w:tcPr>
          <w:p w14:paraId="02019446">
            <w:pPr>
              <w:pStyle w:val="6"/>
              <w:spacing w:before="150" w:line="223" w:lineRule="auto"/>
              <w:ind w:left="126"/>
            </w:pPr>
            <w:r>
              <w:rPr>
                <w:spacing w:val="6"/>
              </w:rPr>
              <w:t>低温可能沉淀析出，溶解后使用</w:t>
            </w:r>
          </w:p>
        </w:tc>
      </w:tr>
      <w:tr w14:paraId="2A8114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3309" w:type="dxa"/>
            <w:vAlign w:val="top"/>
          </w:tcPr>
          <w:p w14:paraId="1A4250FA">
            <w:pPr>
              <w:pStyle w:val="6"/>
              <w:spacing w:before="135" w:line="224" w:lineRule="auto"/>
              <w:ind w:left="107"/>
            </w:pPr>
            <w:r>
              <w:rPr>
                <w:b/>
                <w:bCs/>
                <w:spacing w:val="-2"/>
              </w:rPr>
              <w:t>sterile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2"/>
              </w:rPr>
              <w:t>H</w:t>
            </w:r>
            <w:r>
              <w:rPr>
                <w:rFonts w:ascii="Calibri" w:hAnsi="Calibri" w:eastAsia="Calibri" w:cs="Calibri"/>
                <w:b/>
                <w:bCs/>
                <w:spacing w:val="-2"/>
              </w:rPr>
              <w:t>₂</w:t>
            </w:r>
            <w:r>
              <w:rPr>
                <w:b/>
                <w:bCs/>
                <w:spacing w:val="-2"/>
              </w:rPr>
              <w:t>O</w:t>
            </w:r>
          </w:p>
        </w:tc>
        <w:tc>
          <w:tcPr>
            <w:tcW w:w="2020" w:type="dxa"/>
            <w:vAlign w:val="top"/>
          </w:tcPr>
          <w:p w14:paraId="5D023C19">
            <w:pPr>
              <w:pStyle w:val="6"/>
              <w:spacing w:before="140" w:line="228" w:lineRule="auto"/>
              <w:ind w:left="110"/>
            </w:pPr>
            <w:r>
              <w:t>80</w:t>
            </w:r>
            <w:r>
              <w:rPr>
                <w:spacing w:val="24"/>
              </w:rPr>
              <w:t xml:space="preserve"> </w:t>
            </w:r>
            <w:r>
              <w:t>ml/L</w:t>
            </w:r>
          </w:p>
        </w:tc>
        <w:tc>
          <w:tcPr>
            <w:tcW w:w="4383" w:type="dxa"/>
            <w:vAlign w:val="top"/>
          </w:tcPr>
          <w:p w14:paraId="642982BD">
            <w:pPr>
              <w:rPr>
                <w:rFonts w:ascii="Arial"/>
                <w:sz w:val="21"/>
              </w:rPr>
            </w:pPr>
          </w:p>
        </w:tc>
      </w:tr>
      <w:tr w14:paraId="1F51F6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9712" w:type="dxa"/>
            <w:gridSpan w:val="3"/>
            <w:vAlign w:val="top"/>
          </w:tcPr>
          <w:p w14:paraId="380E0245">
            <w:pPr>
              <w:pStyle w:val="6"/>
              <w:spacing w:before="150" w:line="224" w:lineRule="auto"/>
              <w:ind w:left="4547"/>
            </w:pPr>
            <w:r>
              <w:rPr>
                <w:spacing w:val="8"/>
              </w:rPr>
              <w:t>组分二</w:t>
            </w:r>
          </w:p>
        </w:tc>
      </w:tr>
      <w:tr w14:paraId="094CB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3309" w:type="dxa"/>
            <w:vAlign w:val="top"/>
          </w:tcPr>
          <w:p w14:paraId="207CAD0E">
            <w:pPr>
              <w:pStyle w:val="6"/>
              <w:spacing w:before="143" w:line="224" w:lineRule="auto"/>
              <w:ind w:left="104"/>
            </w:pPr>
            <w:r>
              <w:rPr>
                <w:spacing w:val="4"/>
              </w:rPr>
              <w:t>4%的琼脂溶液</w:t>
            </w:r>
          </w:p>
        </w:tc>
        <w:tc>
          <w:tcPr>
            <w:tcW w:w="2020" w:type="dxa"/>
            <w:vAlign w:val="top"/>
          </w:tcPr>
          <w:p w14:paraId="6AB5D085">
            <w:pPr>
              <w:pStyle w:val="6"/>
              <w:spacing w:before="135" w:line="218" w:lineRule="auto"/>
              <w:ind w:left="110"/>
            </w:pPr>
            <w:r>
              <w:t>20g/L</w:t>
            </w:r>
          </w:p>
        </w:tc>
        <w:tc>
          <w:tcPr>
            <w:tcW w:w="4383" w:type="dxa"/>
            <w:vMerge w:val="restart"/>
            <w:tcBorders>
              <w:bottom w:val="nil"/>
            </w:tcBorders>
            <w:vAlign w:val="top"/>
          </w:tcPr>
          <w:p w14:paraId="24E6EE36">
            <w:pPr>
              <w:spacing w:line="315" w:lineRule="auto"/>
              <w:rPr>
                <w:rFonts w:ascii="Arial"/>
                <w:sz w:val="21"/>
              </w:rPr>
            </w:pPr>
          </w:p>
          <w:p w14:paraId="2F2165EA">
            <w:pPr>
              <w:pStyle w:val="6"/>
              <w:spacing w:before="65" w:line="220" w:lineRule="auto"/>
              <w:ind w:left="126"/>
            </w:pPr>
            <w:r>
              <w:rPr>
                <w:spacing w:val="10"/>
              </w:rPr>
              <w:t>115℃,20</w:t>
            </w:r>
            <w:r>
              <w:rPr>
                <w:spacing w:val="38"/>
              </w:rPr>
              <w:t xml:space="preserve"> </w:t>
            </w:r>
            <w:r>
              <w:t>min</w:t>
            </w:r>
            <w:r>
              <w:rPr>
                <w:spacing w:val="10"/>
              </w:rPr>
              <w:t>灭菌；</w:t>
            </w:r>
          </w:p>
        </w:tc>
      </w:tr>
      <w:tr w14:paraId="1F2166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3309" w:type="dxa"/>
            <w:vAlign w:val="top"/>
          </w:tcPr>
          <w:p w14:paraId="3BCEADC1">
            <w:pPr>
              <w:pStyle w:val="6"/>
              <w:spacing w:before="170" w:line="191" w:lineRule="auto"/>
              <w:ind w:left="104"/>
            </w:pPr>
            <w:r>
              <w:rPr>
                <w:spacing w:val="-1"/>
              </w:rPr>
              <w:t>ddH</w:t>
            </w:r>
            <w:r>
              <w:rPr>
                <w:rFonts w:ascii="Calibri" w:hAnsi="Calibri" w:eastAsia="Calibri" w:cs="Calibri"/>
                <w:spacing w:val="-1"/>
              </w:rPr>
              <w:t>₂</w:t>
            </w:r>
            <w:r>
              <w:rPr>
                <w:spacing w:val="-1"/>
              </w:rPr>
              <w:t>O</w:t>
            </w:r>
          </w:p>
        </w:tc>
        <w:tc>
          <w:tcPr>
            <w:tcW w:w="2020" w:type="dxa"/>
            <w:vAlign w:val="top"/>
          </w:tcPr>
          <w:p w14:paraId="79D7C8B6">
            <w:pPr>
              <w:pStyle w:val="6"/>
              <w:spacing w:before="149" w:line="228" w:lineRule="auto"/>
              <w:ind w:left="110"/>
            </w:pPr>
            <w:r>
              <w:t>500ml/L</w:t>
            </w:r>
          </w:p>
        </w:tc>
        <w:tc>
          <w:tcPr>
            <w:tcW w:w="4383" w:type="dxa"/>
            <w:vMerge w:val="continue"/>
            <w:tcBorders>
              <w:top w:val="nil"/>
            </w:tcBorders>
            <w:vAlign w:val="top"/>
          </w:tcPr>
          <w:p w14:paraId="5BE9DAF8">
            <w:pPr>
              <w:rPr>
                <w:rFonts w:ascii="Arial"/>
                <w:sz w:val="21"/>
              </w:rPr>
            </w:pPr>
          </w:p>
        </w:tc>
      </w:tr>
      <w:tr w14:paraId="5980B1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9712" w:type="dxa"/>
            <w:gridSpan w:val="3"/>
            <w:vAlign w:val="top"/>
          </w:tcPr>
          <w:p w14:paraId="188C90AA">
            <w:pPr>
              <w:pStyle w:val="6"/>
              <w:spacing w:before="144" w:line="224" w:lineRule="auto"/>
              <w:ind w:left="4547"/>
            </w:pPr>
            <w:r>
              <w:rPr>
                <w:spacing w:val="6"/>
              </w:rPr>
              <w:t>组分三</w:t>
            </w:r>
          </w:p>
        </w:tc>
      </w:tr>
      <w:tr w14:paraId="01A682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3309" w:type="dxa"/>
            <w:vAlign w:val="top"/>
          </w:tcPr>
          <w:p w14:paraId="574665BD">
            <w:pPr>
              <w:pStyle w:val="6"/>
              <w:spacing w:before="164" w:line="264" w:lineRule="exact"/>
              <w:ind w:left="104"/>
            </w:pPr>
            <w:r>
              <w:rPr>
                <w:spacing w:val="3"/>
                <w:position w:val="1"/>
              </w:rPr>
              <w:t>20%</w:t>
            </w:r>
            <w:r>
              <w:rPr>
                <w:position w:val="1"/>
              </w:rPr>
              <w:t>Glucose</w:t>
            </w:r>
          </w:p>
        </w:tc>
        <w:tc>
          <w:tcPr>
            <w:tcW w:w="2020" w:type="dxa"/>
            <w:vAlign w:val="top"/>
          </w:tcPr>
          <w:p w14:paraId="59F10D51">
            <w:pPr>
              <w:pStyle w:val="6"/>
              <w:spacing w:before="150" w:line="228" w:lineRule="auto"/>
              <w:ind w:left="110"/>
            </w:pPr>
            <w:r>
              <w:rPr>
                <w:spacing w:val="-2"/>
              </w:rPr>
              <w:t>10ml/L</w:t>
            </w:r>
          </w:p>
        </w:tc>
        <w:tc>
          <w:tcPr>
            <w:tcW w:w="4383" w:type="dxa"/>
            <w:vAlign w:val="top"/>
          </w:tcPr>
          <w:p w14:paraId="73EBD294">
            <w:pPr>
              <w:rPr>
                <w:rFonts w:ascii="Arial"/>
                <w:sz w:val="21"/>
              </w:rPr>
            </w:pPr>
          </w:p>
        </w:tc>
      </w:tr>
    </w:tbl>
    <w:p w14:paraId="3122336D">
      <w:pPr>
        <w:pStyle w:val="2"/>
        <w:spacing w:before="156" w:line="384" w:lineRule="auto"/>
        <w:ind w:left="1044" w:right="502" w:firstLine="416"/>
        <w:rPr>
          <w:spacing w:val="6"/>
        </w:rPr>
      </w:pPr>
      <w:r>
        <w:rPr>
          <w:spacing w:val="13"/>
        </w:rPr>
        <w:t>配置</w:t>
      </w:r>
      <w:r>
        <w:rPr>
          <w:rFonts w:ascii="Times New Roman" w:hAnsi="Times New Roman" w:eastAsia="Times New Roman" w:cs="Times New Roman"/>
        </w:rPr>
        <w:t>IL</w:t>
      </w:r>
      <w:r>
        <w:rPr>
          <w:rFonts w:ascii="Times New Roman" w:hAnsi="Times New Roman" w:eastAsia="Times New Roman" w:cs="Times New Roman"/>
          <w:spacing w:val="31"/>
          <w:w w:val="101"/>
        </w:rPr>
        <w:t xml:space="preserve"> </w:t>
      </w:r>
      <w:r>
        <w:rPr>
          <w:spacing w:val="13"/>
        </w:rPr>
        <w:t>培养基，将490</w:t>
      </w:r>
      <w:r>
        <w:rPr>
          <w:rFonts w:ascii="Times New Roman" w:hAnsi="Times New Roman" w:eastAsia="Times New Roman" w:cs="Times New Roman"/>
        </w:rPr>
        <w:t>ml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spacing w:val="13"/>
        </w:rPr>
        <w:t>组分一</w:t>
      </w:r>
      <w:r>
        <w:rPr>
          <w:spacing w:val="-32"/>
        </w:rPr>
        <w:t xml:space="preserve"> </w:t>
      </w:r>
      <w:r>
        <w:rPr>
          <w:spacing w:val="13"/>
        </w:rPr>
        <w:t>(预热至60℃)和10</w:t>
      </w:r>
      <w:r>
        <w:rPr>
          <w:rFonts w:ascii="Times New Roman" w:hAnsi="Times New Roman" w:eastAsia="Times New Roman" w:cs="Times New Roman"/>
        </w:rPr>
        <w:t>ml</w:t>
      </w:r>
      <w:r>
        <w:rPr>
          <w:rFonts w:ascii="Times New Roman" w:hAnsi="Times New Roman" w:eastAsia="Times New Roman" w:cs="Times New Roman"/>
          <w:spacing w:val="51"/>
          <w:w w:val="101"/>
        </w:rPr>
        <w:t xml:space="preserve"> </w:t>
      </w:r>
      <w:r>
        <w:rPr>
          <w:spacing w:val="13"/>
        </w:rPr>
        <w:t xml:space="preserve">组分三依次加入到500 </w:t>
      </w:r>
      <w:r>
        <w:rPr>
          <w:rFonts w:ascii="Times New Roman" w:hAnsi="Times New Roman" w:eastAsia="Times New Roman" w:cs="Times New Roman"/>
        </w:rPr>
        <w:t>ml</w:t>
      </w:r>
      <w:r>
        <w:rPr>
          <w:rFonts w:ascii="Times New Roman" w:hAnsi="Times New Roman" w:eastAsia="Times New Roman" w:cs="Times New Roman"/>
          <w:spacing w:val="3"/>
        </w:rPr>
        <w:t xml:space="preserve">  </w:t>
      </w:r>
      <w:r>
        <w:rPr>
          <w:spacing w:val="13"/>
        </w:rPr>
        <w:t>组分二中，混</w:t>
      </w:r>
      <w:r>
        <w:t xml:space="preserve"> </w:t>
      </w:r>
      <w:r>
        <w:rPr>
          <w:spacing w:val="6"/>
        </w:rPr>
        <w:t>匀后倾倒平板，凝固后4℃倒置备用。</w:t>
      </w:r>
    </w:p>
    <w:p w14:paraId="6C12FF5E">
      <w:pPr>
        <w:pStyle w:val="2"/>
        <w:spacing w:before="156" w:line="384" w:lineRule="auto"/>
        <w:ind w:left="1044" w:right="502" w:firstLine="416"/>
        <w:rPr>
          <w:spacing w:val="-4"/>
        </w:rPr>
      </w:pPr>
      <w:r>
        <w:rPr>
          <w:spacing w:val="-4"/>
        </w:rPr>
        <w:t>注意：</w:t>
      </w:r>
    </w:p>
    <w:p w14:paraId="74C3D80E">
      <w:pPr>
        <w:pStyle w:val="2"/>
        <w:spacing w:before="156" w:line="384" w:lineRule="auto"/>
        <w:ind w:left="1044" w:right="502" w:firstLine="416"/>
      </w:pPr>
      <w:r>
        <w:rPr>
          <w:spacing w:val="-1"/>
        </w:rPr>
        <w:t>5×Supplement EZ/-Leucine低温储存可能会有部分沉淀析出。可以充分37</w:t>
      </w:r>
      <w:r>
        <w:rPr>
          <w:spacing w:val="-2"/>
        </w:rPr>
        <w:t>℃水浴溶解后使用。5×</w:t>
      </w:r>
    </w:p>
    <w:p w14:paraId="228D64AD">
      <w:pPr>
        <w:pStyle w:val="2"/>
        <w:spacing w:before="215" w:line="378" w:lineRule="auto"/>
        <w:ind w:left="1043" w:right="499" w:hanging="7"/>
      </w:pPr>
      <w:r>
        <w:rPr>
          <w:spacing w:val="-2"/>
        </w:rPr>
        <w:t>Supplement EZ/-Leucine经过滤除菌，不应存在</w:t>
      </w:r>
      <w:r>
        <w:rPr>
          <w:spacing w:val="-3"/>
        </w:rPr>
        <w:t>不溶物或污染，也可以直接加入培养基至终浓度，混匀后也</w:t>
      </w:r>
      <w:r>
        <w:t xml:space="preserve"> </w:t>
      </w:r>
      <w:r>
        <w:rPr>
          <w:spacing w:val="-4"/>
        </w:rPr>
        <w:t>可以溶解。</w:t>
      </w:r>
    </w:p>
    <w:p w14:paraId="0668D24B">
      <w:pPr>
        <w:spacing w:before="17"/>
      </w:pPr>
    </w:p>
    <w:p w14:paraId="0FBA3DD2">
      <w:pPr>
        <w:spacing w:before="16"/>
      </w:pPr>
    </w:p>
    <w:p w14:paraId="418B28D7">
      <w:pPr>
        <w:sectPr>
          <w:headerReference r:id="rId5" w:type="default"/>
          <w:pgSz w:w="11906" w:h="16838"/>
          <w:pgMar w:top="1" w:right="638" w:bottom="0" w:left="105" w:header="0" w:footer="0" w:gutter="0"/>
          <w:cols w:equalWidth="0" w:num="1">
            <w:col w:w="11267"/>
          </w:cols>
        </w:sectPr>
      </w:pPr>
    </w:p>
    <w:p w14:paraId="411E9B27">
      <w:pPr>
        <w:spacing w:line="408" w:lineRule="exact"/>
        <w:ind w:firstLine="401"/>
      </w:pPr>
    </w:p>
    <w:p w14:paraId="3567267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sectPr>
      <w:type w:val="continuous"/>
      <w:pgSz w:w="12011" w:h="31680"/>
      <w:pgMar w:top="1" w:right="638" w:bottom="0" w:left="105" w:header="0" w:footer="0" w:gutter="0"/>
      <w:cols w:equalWidth="0" w:num="3">
        <w:col w:w="7537" w:space="100"/>
        <w:col w:w="1961" w:space="22"/>
        <w:col w:w="164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47DCB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2838B4"/>
    <w:rsid w:val="17EE0DF9"/>
    <w:rsid w:val="20281771"/>
    <w:rsid w:val="3ECA0AFF"/>
    <w:rsid w:val="471F57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628</Words>
  <Characters>1140</Characters>
  <TotalTime>42</TotalTime>
  <ScaleCrop>false</ScaleCrop>
  <LinksUpToDate>false</LinksUpToDate>
  <CharactersWithSpaces>1230</CharactersWithSpaces>
  <Application>WPS Office_12.1.0.19302_F1E327BC-269C-435d-A152-05C5408002CA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2024-12-13T09:17:00Z</dcterms:created>
  <dc:creator>Kingsoft-PDF</dc:creator>
  <cp:lastModifiedBy>赵辉</cp:lastModifiedBy>
  <cp:lastPrinted>2024-12-13T01:55:00Z</cp:lastPrinted>
  <dcterms:modified xsi:type="dcterms:W3CDTF">2024-12-13T08:57:52Z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2024-12-13T09:17:11Z</vt:filetime>
  </property>
  <property fmtid="{D5CDD505-2E9C-101B-9397-08002B2CF9AE}" pid="4" name="UsrData">
    <vt:lpwstr>675b8b132de4ed0020a0acc8wl</vt:lpwstr>
  </property>
  <property fmtid="{D5CDD505-2E9C-101B-9397-08002B2CF9AE}" pid="5" name="KSOProductBuildVer">
    <vt:lpwstr>2052-12.1.0.19302</vt:lpwstr>
  </property>
  <property fmtid="{D5CDD505-2E9C-101B-9397-08002B2CF9AE}" pid="6" name="ICV">
    <vt:lpwstr>F7AEB1A73F904F8FB5B1BDC3BB6519E9_13</vt:lpwstr>
  </property>
</Properties>
</file>