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20B08">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rPr>
        <w:t>组织自发荧光淬灭剂（</w:t>
      </w:r>
      <w:r>
        <w:rPr>
          <w:rFonts w:hint="default" w:ascii="Times New Roman" w:hAnsi="Times New Roman" w:cs="Times New Roman" w:eastAsiaTheme="minorEastAsia"/>
          <w:b/>
          <w:bCs/>
          <w:sz w:val="24"/>
          <w:szCs w:val="24"/>
          <w:lang w:val="en-US" w:eastAsia="zh-CN"/>
        </w:rPr>
        <w:t>双</w:t>
      </w:r>
      <w:r>
        <w:rPr>
          <w:rFonts w:hint="default" w:ascii="Times New Roman" w:hAnsi="Times New Roman" w:cs="Times New Roman" w:eastAsiaTheme="minorEastAsia"/>
          <w:b/>
          <w:bCs/>
          <w:sz w:val="24"/>
          <w:szCs w:val="24"/>
        </w:rPr>
        <w:t>组分）</w:t>
      </w:r>
      <w:r>
        <w:rPr>
          <w:rFonts w:hint="default" w:ascii="Times New Roman" w:hAnsi="Times New Roman" w:cs="Times New Roman" w:eastAsiaTheme="minorEastAsia"/>
          <w:b/>
          <w:bCs/>
          <w:sz w:val="24"/>
          <w:szCs w:val="24"/>
          <w:lang w:val="en-US" w:eastAsia="zh-CN"/>
        </w:rPr>
        <w:t>说明书</w:t>
      </w:r>
    </w:p>
    <w:p w14:paraId="444B5A8E">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imes New Roman" w:hAnsi="Times New Roman" w:cs="Times New Roman"/>
          <w:b w:val="0"/>
          <w:bCs w:val="0"/>
          <w:sz w:val="24"/>
          <w:szCs w:val="24"/>
          <w:lang w:val="en-US" w:eastAsia="zh-CN"/>
        </w:rPr>
      </w:pPr>
      <w:r>
        <w:rPr>
          <w:rFonts w:hint="default" w:ascii="Times New Roman" w:hAnsi="Times New Roman" w:cs="Times New Roman" w:eastAsiaTheme="minorEastAsia"/>
          <w:b/>
          <w:bCs/>
          <w:sz w:val="24"/>
          <w:szCs w:val="24"/>
          <w:lang w:val="en-US" w:eastAsia="zh-CN"/>
        </w:rPr>
        <w:t>货号：</w:t>
      </w:r>
      <w:r>
        <w:rPr>
          <w:rFonts w:hint="eastAsia" w:ascii="Times New Roman" w:hAnsi="Times New Roman" w:cs="Times New Roman"/>
          <w:b/>
          <w:bCs/>
          <w:sz w:val="24"/>
          <w:szCs w:val="24"/>
          <w:lang w:val="en-US" w:eastAsia="zh-CN"/>
        </w:rPr>
        <w:t>F</w:t>
      </w:r>
      <w:r>
        <w:rPr>
          <w:rFonts w:hint="eastAsia" w:ascii="Times New Roman" w:hAnsi="Times New Roman" w:cs="Times New Roman"/>
          <w:b w:val="0"/>
          <w:bCs w:val="0"/>
          <w:sz w:val="24"/>
          <w:szCs w:val="24"/>
          <w:lang w:val="en-US" w:eastAsia="zh-CN"/>
        </w:rPr>
        <w:t>B13557</w:t>
      </w:r>
    </w:p>
    <w:p w14:paraId="7D6AE583">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eastAsiaTheme="minorEastAsia"/>
          <w:b/>
          <w:bCs/>
          <w:sz w:val="24"/>
          <w:szCs w:val="24"/>
          <w:lang w:val="en-US" w:eastAsia="zh-CN"/>
        </w:rPr>
        <w:t>规格：</w:t>
      </w:r>
      <w:r>
        <w:rPr>
          <w:rFonts w:hint="default" w:ascii="Times New Roman" w:hAnsi="Times New Roman" w:cs="Times New Roman" w:eastAsiaTheme="minorEastAsia"/>
          <w:b w:val="0"/>
          <w:bCs w:val="0"/>
          <w:sz w:val="24"/>
          <w:szCs w:val="24"/>
          <w:lang w:val="en-US" w:eastAsia="zh-CN"/>
        </w:rPr>
        <w:t>5mL</w:t>
      </w:r>
    </w:p>
    <w:p w14:paraId="4CF33A34">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eastAsiaTheme="minorEastAsia"/>
          <w:b/>
          <w:bCs/>
          <w:sz w:val="24"/>
          <w:szCs w:val="24"/>
          <w:lang w:val="en-US" w:eastAsia="zh-CN"/>
        </w:rPr>
        <w:t>保存：</w:t>
      </w:r>
      <w:r>
        <w:rPr>
          <w:rFonts w:hint="default" w:ascii="Times New Roman" w:hAnsi="Times New Roman" w:cs="Times New Roman" w:eastAsiaTheme="minorEastAsia"/>
          <w:b w:val="0"/>
          <w:bCs w:val="0"/>
          <w:sz w:val="24"/>
          <w:szCs w:val="24"/>
          <w:lang w:val="en-US" w:eastAsia="zh-CN"/>
        </w:rPr>
        <w:t>RT保存，有效期12个月</w:t>
      </w:r>
    </w:p>
    <w:p w14:paraId="1D7D24D7">
      <w:pPr>
        <w:keepNext w:val="0"/>
        <w:keepLines w:val="0"/>
        <w:pageBreakBefore w:val="0"/>
        <w:widowControl w:val="0"/>
        <w:kinsoku/>
        <w:wordWrap/>
        <w:overflowPunct/>
        <w:topLinePunct w:val="0"/>
        <w:autoSpaceDE/>
        <w:autoSpaceDN/>
        <w:bidi w:val="0"/>
        <w:adjustRightInd w:val="0"/>
        <w:snapToGrid w:val="0"/>
        <w:spacing w:before="157" w:beforeLines="50" w:line="360" w:lineRule="exact"/>
        <w:textAlignment w:val="auto"/>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产品介绍：</w:t>
      </w:r>
    </w:p>
    <w:p w14:paraId="16DDDC31">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rPr>
      </w:pPr>
      <w:r>
        <w:rPr>
          <w:rFonts w:hint="default" w:ascii="Times New Roman" w:hAnsi="Times New Roman" w:cs="Times New Roman" w:eastAsiaTheme="minorEastAsia"/>
          <w:i w:val="0"/>
          <w:iCs w:val="0"/>
          <w:caps w:val="0"/>
          <w:spacing w:val="0"/>
          <w:sz w:val="24"/>
          <w:szCs w:val="24"/>
          <w:shd w:val="clear" w:fill="FFFFFF"/>
          <w:lang w:val="en-US" w:eastAsia="zh-CN"/>
        </w:rPr>
        <w:t>组织内的</w:t>
      </w:r>
      <w:r>
        <w:rPr>
          <w:rFonts w:hint="default" w:ascii="Times New Roman" w:hAnsi="Times New Roman" w:cs="Times New Roman" w:eastAsiaTheme="minorEastAsia"/>
          <w:i w:val="0"/>
          <w:iCs w:val="0"/>
          <w:caps w:val="0"/>
          <w:spacing w:val="0"/>
          <w:sz w:val="24"/>
          <w:szCs w:val="24"/>
          <w:shd w:val="clear" w:fill="FFFFFF"/>
        </w:rPr>
        <w:t>红细胞以及胶原蛋白和弹性蛋白等</w:t>
      </w:r>
      <w:r>
        <w:rPr>
          <w:rFonts w:hint="default" w:ascii="Times New Roman" w:hAnsi="Times New Roman" w:cs="Times New Roman" w:eastAsiaTheme="minorEastAsia"/>
          <w:i w:val="0"/>
          <w:iCs w:val="0"/>
          <w:caps w:val="0"/>
          <w:spacing w:val="0"/>
          <w:sz w:val="24"/>
          <w:szCs w:val="24"/>
          <w:shd w:val="clear" w:fill="FFFFFF"/>
          <w:lang w:val="en-US" w:eastAsia="zh-CN"/>
        </w:rPr>
        <w:t>各种物质或者醛类固定剂导致的交联复合物在强度较高时会干扰荧光抗体的判断，荧光淬灭剂</w:t>
      </w:r>
      <w:bookmarkStart w:id="0" w:name="_GoBack"/>
      <w:bookmarkEnd w:id="0"/>
      <w:r>
        <w:rPr>
          <w:rFonts w:hint="default" w:ascii="Times New Roman" w:hAnsi="Times New Roman" w:cs="Times New Roman" w:eastAsiaTheme="minorEastAsia"/>
          <w:i w:val="0"/>
          <w:iCs w:val="0"/>
          <w:caps w:val="0"/>
          <w:spacing w:val="0"/>
          <w:sz w:val="24"/>
          <w:szCs w:val="24"/>
          <w:shd w:val="clear" w:fill="FFFFFF"/>
          <w:lang w:val="en-US" w:eastAsia="zh-CN"/>
        </w:rPr>
        <w:t>可以通过物理覆盖或电子屏蔽，减小自身荧光对抗体信号的干扰。荧光淬灭剂并不能完全消灭自发荧光，但可以大幅降低自发荧光背景，使目的靶标被特异性显色，</w:t>
      </w:r>
      <w:r>
        <w:rPr>
          <w:rFonts w:hint="default" w:ascii="Times New Roman" w:hAnsi="Times New Roman" w:cs="Times New Roman" w:eastAsiaTheme="minorEastAsia"/>
          <w:i w:val="0"/>
          <w:iCs w:val="0"/>
          <w:caps w:val="0"/>
          <w:spacing w:val="0"/>
          <w:sz w:val="24"/>
          <w:szCs w:val="24"/>
          <w:shd w:val="clear" w:fill="FFFFFF"/>
        </w:rPr>
        <w:t>显著提升大多数免疫荧光检测中的整体信噪比。</w:t>
      </w:r>
    </w:p>
    <w:p w14:paraId="73EDA0E8">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同时，由于每一种淬灭剂只能针对特定的自发荧光物质进行屏蔽，因此不同的抗体、不同的组织都需要根据情况来选择合适的淬灭剂。</w:t>
      </w:r>
    </w:p>
    <w:p w14:paraId="7D12F462">
      <w:pPr>
        <w:keepNext w:val="0"/>
        <w:keepLines w:val="0"/>
        <w:pageBreakBefore w:val="0"/>
        <w:widowControl w:val="0"/>
        <w:kinsoku/>
        <w:wordWrap/>
        <w:overflowPunct/>
        <w:topLinePunct w:val="0"/>
        <w:autoSpaceDE/>
        <w:autoSpaceDN/>
        <w:bidi w:val="0"/>
        <w:adjustRightInd w:val="0"/>
        <w:snapToGrid w:val="0"/>
        <w:spacing w:before="157" w:beforeLines="50" w:line="360" w:lineRule="exact"/>
        <w:textAlignment w:val="auto"/>
        <w:rPr>
          <w:rFonts w:hint="default" w:ascii="Times New Roman" w:hAnsi="Times New Roman" w:cs="Times New Roman" w:eastAsiaTheme="minorEastAsia"/>
          <w:b/>
          <w:bCs/>
          <w:sz w:val="24"/>
          <w:szCs w:val="24"/>
          <w:vertAlign w:val="baseline"/>
          <w:lang w:val="en-US" w:eastAsia="zh-CN"/>
        </w:rPr>
      </w:pPr>
      <w:r>
        <w:rPr>
          <w:rFonts w:hint="default" w:ascii="Times New Roman" w:hAnsi="Times New Roman" w:cs="Times New Roman" w:eastAsiaTheme="minorEastAsia"/>
          <w:b/>
          <w:bCs/>
          <w:sz w:val="24"/>
          <w:szCs w:val="24"/>
          <w:lang w:val="en-US" w:eastAsia="zh-CN"/>
        </w:rPr>
        <w:t>产品内容：</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3"/>
        <w:gridCol w:w="2513"/>
      </w:tblGrid>
      <w:tr w14:paraId="44A5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tcPr>
          <w:p w14:paraId="20F2F90E">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产品内容</w:t>
            </w:r>
          </w:p>
        </w:tc>
        <w:tc>
          <w:tcPr>
            <w:tcW w:w="2513" w:type="dxa"/>
          </w:tcPr>
          <w:p w14:paraId="7B98C80C">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规格</w:t>
            </w:r>
          </w:p>
        </w:tc>
      </w:tr>
      <w:tr w14:paraId="2590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shd w:val="clear" w:color="auto" w:fill="auto"/>
            <w:vAlign w:val="top"/>
          </w:tcPr>
          <w:p w14:paraId="6DEE0FF5">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kern w:val="2"/>
                <w:sz w:val="24"/>
                <w:szCs w:val="24"/>
                <w:vertAlign w:val="baseline"/>
                <w:lang w:val="en-US" w:eastAsia="zh-CN" w:bidi="ar-SA"/>
              </w:rPr>
            </w:pPr>
            <w:r>
              <w:rPr>
                <w:rFonts w:hint="default" w:ascii="Times New Roman" w:hAnsi="Times New Roman" w:cs="Times New Roman" w:eastAsiaTheme="minorEastAsia"/>
                <w:b w:val="0"/>
                <w:bCs w:val="0"/>
                <w:i w:val="0"/>
                <w:iCs w:val="0"/>
                <w:caps w:val="0"/>
                <w:color w:val="000000"/>
                <w:spacing w:val="0"/>
                <w:sz w:val="24"/>
                <w:szCs w:val="24"/>
                <w:shd w:val="clear" w:fill="FFFFFF"/>
              </w:rPr>
              <w:t>组织自发荧光淬灭剂A液</w:t>
            </w:r>
          </w:p>
        </w:tc>
        <w:tc>
          <w:tcPr>
            <w:tcW w:w="2513" w:type="dxa"/>
          </w:tcPr>
          <w:p w14:paraId="0630A637">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5mL</w:t>
            </w:r>
          </w:p>
        </w:tc>
      </w:tr>
      <w:tr w14:paraId="6F65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263" w:type="dxa"/>
            <w:vMerge w:val="restart"/>
            <w:shd w:val="clear" w:color="auto" w:fill="auto"/>
            <w:vAlign w:val="top"/>
          </w:tcPr>
          <w:p w14:paraId="6F68298F">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i w:val="0"/>
                <w:iCs w:val="0"/>
                <w:caps w:val="0"/>
                <w:color w:val="000000"/>
                <w:spacing w:val="0"/>
                <w:sz w:val="24"/>
                <w:szCs w:val="24"/>
                <w:shd w:val="clear" w:fill="FFFFFF"/>
              </w:rPr>
            </w:pPr>
          </w:p>
          <w:p w14:paraId="3AA5A0E9">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kern w:val="2"/>
                <w:sz w:val="24"/>
                <w:szCs w:val="24"/>
                <w:vertAlign w:val="baseline"/>
                <w:lang w:val="en-US" w:eastAsia="zh-CN" w:bidi="ar-SA"/>
              </w:rPr>
            </w:pPr>
            <w:r>
              <w:rPr>
                <w:rFonts w:hint="default" w:ascii="Times New Roman" w:hAnsi="Times New Roman" w:cs="Times New Roman" w:eastAsiaTheme="minorEastAsia"/>
                <w:b w:val="0"/>
                <w:bCs w:val="0"/>
                <w:i w:val="0"/>
                <w:iCs w:val="0"/>
                <w:caps w:val="0"/>
                <w:color w:val="000000"/>
                <w:spacing w:val="0"/>
                <w:sz w:val="24"/>
                <w:szCs w:val="24"/>
                <w:shd w:val="clear" w:fill="FFFFFF"/>
              </w:rPr>
              <w:t>组织自发荧光淬灭剂B液</w:t>
            </w:r>
          </w:p>
        </w:tc>
        <w:tc>
          <w:tcPr>
            <w:tcW w:w="2513" w:type="dxa"/>
          </w:tcPr>
          <w:p w14:paraId="757DE66A">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B1  2mL</w:t>
            </w:r>
          </w:p>
        </w:tc>
      </w:tr>
      <w:tr w14:paraId="2241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263" w:type="dxa"/>
            <w:vMerge w:val="continue"/>
            <w:shd w:val="clear" w:color="auto" w:fill="auto"/>
            <w:vAlign w:val="top"/>
          </w:tcPr>
          <w:p w14:paraId="6CEE8308">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sz w:val="24"/>
                <w:szCs w:val="24"/>
              </w:rPr>
            </w:pPr>
          </w:p>
        </w:tc>
        <w:tc>
          <w:tcPr>
            <w:tcW w:w="2513" w:type="dxa"/>
          </w:tcPr>
          <w:p w14:paraId="25340F2F">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B2  2mL</w:t>
            </w:r>
          </w:p>
        </w:tc>
      </w:tr>
      <w:tr w14:paraId="2AA0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263" w:type="dxa"/>
            <w:vMerge w:val="continue"/>
            <w:shd w:val="clear" w:color="auto" w:fill="auto"/>
            <w:vAlign w:val="top"/>
          </w:tcPr>
          <w:p w14:paraId="60046684">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p>
        </w:tc>
        <w:tc>
          <w:tcPr>
            <w:tcW w:w="2513" w:type="dxa"/>
          </w:tcPr>
          <w:p w14:paraId="57AF6313">
            <w:pPr>
              <w:keepNext w:val="0"/>
              <w:keepLines w:val="0"/>
              <w:pageBreakBefore w:val="0"/>
              <w:widowControl w:val="0"/>
              <w:kinsoku/>
              <w:wordWrap/>
              <w:overflowPunct/>
              <w:topLinePunct w:val="0"/>
              <w:autoSpaceDE/>
              <w:autoSpaceDN/>
              <w:bidi w:val="0"/>
              <w:adjustRightInd w:val="0"/>
              <w:snapToGrid w:val="0"/>
              <w:spacing w:before="157" w:beforeLines="50" w:line="360" w:lineRule="exact"/>
              <w:jc w:val="center"/>
              <w:textAlignment w:val="auto"/>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B3  2mL</w:t>
            </w:r>
          </w:p>
        </w:tc>
      </w:tr>
    </w:tbl>
    <w:p w14:paraId="4FE9B797">
      <w:pPr>
        <w:keepNext w:val="0"/>
        <w:keepLines w:val="0"/>
        <w:pageBreakBefore w:val="0"/>
        <w:widowControl w:val="0"/>
        <w:kinsoku/>
        <w:wordWrap/>
        <w:overflowPunct/>
        <w:topLinePunct w:val="0"/>
        <w:autoSpaceDE/>
        <w:autoSpaceDN/>
        <w:bidi w:val="0"/>
        <w:adjustRightInd w:val="0"/>
        <w:snapToGrid w:val="0"/>
        <w:spacing w:before="157" w:beforeLines="50" w:line="360" w:lineRule="exact"/>
        <w:textAlignment w:val="auto"/>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使用方法：</w:t>
      </w:r>
    </w:p>
    <w:p w14:paraId="2C16AFB5">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本试剂盒分为AB两个组分，独立工作，针对不同的自发荧光物质，请先通过预实验观察是否适用于样本组织。可以只使用AB一种，也可以同时使用。</w:t>
      </w:r>
    </w:p>
    <w:p w14:paraId="3891FB8E">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cs="Times New Roman" w:eastAsiaTheme="minorEastAsia"/>
          <w:b/>
          <w:bCs/>
          <w:i w:val="0"/>
          <w:iCs w:val="0"/>
          <w:caps w:val="0"/>
          <w:spacing w:val="0"/>
          <w:sz w:val="24"/>
          <w:szCs w:val="24"/>
          <w:shd w:val="clear" w:fill="FFFFFF"/>
          <w:lang w:val="en-US" w:eastAsia="zh-CN"/>
        </w:rPr>
      </w:pPr>
      <w:r>
        <w:rPr>
          <w:rFonts w:hint="eastAsia" w:ascii="Times New Roman" w:hAnsi="Times New Roman" w:cs="Times New Roman"/>
          <w:b/>
          <w:bCs/>
          <w:i w:val="0"/>
          <w:iCs w:val="0"/>
          <w:caps w:val="0"/>
          <w:spacing w:val="0"/>
          <w:sz w:val="24"/>
          <w:szCs w:val="24"/>
          <w:shd w:val="clear" w:fill="FFFFFF"/>
          <w:lang w:val="en-US" w:eastAsia="zh-CN"/>
        </w:rPr>
        <w:t>步骤一、</w:t>
      </w:r>
    </w:p>
    <w:p w14:paraId="5C9DAB86">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溶液A主要用于屏蔽脂褐素引发的强烈自发荧光斑点，主要成分SBB 通过与脂褐素疏水脂核结合→物理遮蔽+能量转移，淬灭&gt;90%以上的脂褐素自发荧光。红色亮点消失 。</w:t>
      </w:r>
      <w:r>
        <w:rPr>
          <w:rFonts w:hint="default" w:ascii="Times New Roman" w:hAnsi="Times New Roman" w:cs="Times New Roman" w:eastAsiaTheme="minorEastAsia"/>
          <w:i w:val="0"/>
          <w:iCs w:val="0"/>
          <w:caps w:val="0"/>
          <w:spacing w:val="0"/>
          <w:sz w:val="24"/>
          <w:szCs w:val="24"/>
          <w:u w:val="single"/>
          <w:shd w:val="clear" w:fill="FFFFFF"/>
          <w:lang w:val="en-US" w:eastAsia="zh-CN"/>
        </w:rPr>
        <w:t>但是SBB在红光区（比如cy3）具有少量红色荧光特性，弥漫红色背景，全片均匀覆盖，如果目的蛋白是高表达、红色荧光非常亮，不妨碍特异性染色的识别， 如果要做低表达蛋白的红色定量建议更换其他颜色荧光。在大于700nm具有较强背景荧光，不能用SBB。</w:t>
      </w:r>
    </w:p>
    <w:p w14:paraId="196D7032">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组织切片在经过抗原修复以后，封闭之前滴加溶液A，完全覆盖切片，约100-200u</w:t>
      </w:r>
      <w:r>
        <w:rPr>
          <w:rFonts w:hint="eastAsia" w:ascii="Times New Roman" w:hAnsi="Times New Roman" w:cs="Times New Roman"/>
          <w:i w:val="0"/>
          <w:iCs w:val="0"/>
          <w:caps w:val="0"/>
          <w:spacing w:val="0"/>
          <w:sz w:val="24"/>
          <w:szCs w:val="24"/>
          <w:shd w:val="clear" w:fill="FFFFFF"/>
          <w:lang w:val="en-US" w:eastAsia="zh-CN"/>
        </w:rPr>
        <w:t>L</w:t>
      </w:r>
      <w:r>
        <w:rPr>
          <w:rFonts w:hint="default" w:ascii="Times New Roman" w:hAnsi="Times New Roman" w:cs="Times New Roman" w:eastAsiaTheme="minorEastAsia"/>
          <w:i w:val="0"/>
          <w:iCs w:val="0"/>
          <w:caps w:val="0"/>
          <w:spacing w:val="0"/>
          <w:sz w:val="24"/>
          <w:szCs w:val="24"/>
          <w:shd w:val="clear" w:fill="FFFFFF"/>
          <w:lang w:val="en-US" w:eastAsia="zh-CN"/>
        </w:rPr>
        <w:t>，避光孵育90 min。PBS 漂洗四次，封闭，孵育抗体。</w:t>
      </w:r>
    </w:p>
    <w:p w14:paraId="0BE9CF5E">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b/>
          <w:bCs/>
          <w:i w:val="0"/>
          <w:iCs w:val="0"/>
          <w:caps w:val="0"/>
          <w:spacing w:val="0"/>
          <w:sz w:val="24"/>
          <w:szCs w:val="24"/>
          <w:shd w:val="clear" w:fill="FFFFFF"/>
          <w:lang w:val="en-US" w:eastAsia="zh-CN"/>
        </w:rPr>
      </w:pPr>
      <w:r>
        <w:rPr>
          <w:rFonts w:hint="default" w:ascii="Times New Roman" w:hAnsi="Times New Roman" w:cs="Times New Roman" w:eastAsiaTheme="minorEastAsia"/>
          <w:b/>
          <w:bCs/>
          <w:i w:val="0"/>
          <w:iCs w:val="0"/>
          <w:caps w:val="0"/>
          <w:spacing w:val="0"/>
          <w:sz w:val="24"/>
          <w:szCs w:val="24"/>
          <w:shd w:val="clear" w:fill="FFFFFF"/>
          <w:lang w:val="en-US" w:eastAsia="zh-CN"/>
        </w:rPr>
        <w:t>注意：溶液A处理后，封闭液、抗体稀释液、所有洗涤液中均不得含 Triton X-100、Tween-20 或 SDS等去污剂。</w:t>
      </w:r>
    </w:p>
    <w:p w14:paraId="7E4BEEF4">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imes New Roman" w:hAnsi="Times New Roman" w:cs="Times New Roman"/>
          <w:b/>
          <w:bCs/>
          <w:i w:val="0"/>
          <w:iCs w:val="0"/>
          <w:caps w:val="0"/>
          <w:spacing w:val="0"/>
          <w:sz w:val="24"/>
          <w:szCs w:val="24"/>
          <w:shd w:val="clear" w:fill="FFFFFF"/>
          <w:lang w:val="en-US" w:eastAsia="zh-CN"/>
        </w:rPr>
      </w:pPr>
    </w:p>
    <w:p w14:paraId="3B7D3788">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imes New Roman" w:hAnsi="Times New Roman" w:cs="Times New Roman"/>
          <w:b/>
          <w:bCs/>
          <w:i w:val="0"/>
          <w:iCs w:val="0"/>
          <w:caps w:val="0"/>
          <w:spacing w:val="0"/>
          <w:sz w:val="24"/>
          <w:szCs w:val="24"/>
          <w:shd w:val="clear" w:fill="FFFFFF"/>
          <w:lang w:val="en-US" w:eastAsia="zh-CN"/>
        </w:rPr>
      </w:pPr>
    </w:p>
    <w:p w14:paraId="4CEA3C1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imes New Roman" w:hAnsi="Times New Roman" w:cs="Times New Roman"/>
          <w:b/>
          <w:bCs/>
          <w:i w:val="0"/>
          <w:iCs w:val="0"/>
          <w:caps w:val="0"/>
          <w:spacing w:val="0"/>
          <w:sz w:val="24"/>
          <w:szCs w:val="24"/>
          <w:shd w:val="clear" w:fill="FFFFFF"/>
          <w:lang w:val="en-US" w:eastAsia="zh-CN"/>
        </w:rPr>
      </w:pPr>
    </w:p>
    <w:p w14:paraId="35EA0FBC">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imes New Roman" w:hAnsi="Times New Roman" w:cs="Times New Roman"/>
          <w:b/>
          <w:bCs/>
          <w:i w:val="0"/>
          <w:iCs w:val="0"/>
          <w:caps w:val="0"/>
          <w:spacing w:val="0"/>
          <w:sz w:val="24"/>
          <w:szCs w:val="24"/>
          <w:shd w:val="clear" w:fill="FFFFFF"/>
          <w:lang w:val="en-US" w:eastAsia="zh-CN"/>
        </w:rPr>
      </w:pPr>
    </w:p>
    <w:p w14:paraId="7DEFBD66">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cs="Times New Roman" w:eastAsiaTheme="minorEastAsia"/>
          <w:b/>
          <w:bCs/>
          <w:i w:val="0"/>
          <w:iCs w:val="0"/>
          <w:caps w:val="0"/>
          <w:spacing w:val="0"/>
          <w:sz w:val="24"/>
          <w:szCs w:val="24"/>
          <w:shd w:val="clear" w:fill="FFFFFF"/>
          <w:lang w:val="en-US" w:eastAsia="zh-CN"/>
        </w:rPr>
      </w:pPr>
      <w:r>
        <w:rPr>
          <w:rFonts w:hint="eastAsia" w:ascii="Times New Roman" w:hAnsi="Times New Roman" w:cs="Times New Roman"/>
          <w:b/>
          <w:bCs/>
          <w:i w:val="0"/>
          <w:iCs w:val="0"/>
          <w:caps w:val="0"/>
          <w:spacing w:val="0"/>
          <w:sz w:val="24"/>
          <w:szCs w:val="24"/>
          <w:shd w:val="clear" w:fill="FFFFFF"/>
          <w:lang w:val="en-US" w:eastAsia="zh-CN"/>
        </w:rPr>
        <w:t>步骤二、</w:t>
      </w:r>
    </w:p>
    <w:p w14:paraId="1BFF0263">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溶液B分为三个组分，每张标准组织切片约需要 150 μL 溶液B（即 50 μL B1 + 50 μL B2 + 50 μL B3）使用时先取适量B1与等体积B2充分混合均匀，然后加入B3混匀。该混合物室温下两小时有效，需要立即使用。在免疫荧光染色全部完成后进行，滴加该工作液孵育 2-5 分钟。PBS 缓冲液洗涤 5 分钟，甩掉切片上多余缓冲液。滴加封片剂前尽量去除组织周围多余液体，以获得最佳结果，抗荧光衰减封片剂滴加到组织切片上封片后可立即观察。封片后普通光镜下可见切片被染成蓝色，但不会影响荧光信号。</w:t>
      </w:r>
    </w:p>
    <w:p w14:paraId="7C77CB73">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cs="Times New Roman" w:eastAsiaTheme="minorEastAsia"/>
          <w:b/>
          <w:bCs/>
          <w:i w:val="0"/>
          <w:iCs w:val="0"/>
          <w:caps w:val="0"/>
          <w:spacing w:val="0"/>
          <w:sz w:val="24"/>
          <w:szCs w:val="24"/>
          <w:shd w:val="clear" w:fill="FFFFFF"/>
          <w:lang w:val="en-US" w:eastAsia="zh-CN"/>
        </w:rPr>
      </w:pPr>
      <w:r>
        <w:rPr>
          <w:rFonts w:hint="default" w:ascii="Times New Roman" w:hAnsi="Times New Roman" w:cs="Times New Roman" w:eastAsiaTheme="minorEastAsia"/>
          <w:b/>
          <w:bCs/>
          <w:i w:val="0"/>
          <w:iCs w:val="0"/>
          <w:caps w:val="0"/>
          <w:spacing w:val="0"/>
          <w:sz w:val="24"/>
          <w:szCs w:val="24"/>
          <w:shd w:val="clear" w:fill="FFFFFF"/>
          <w:lang w:val="en-US" w:eastAsia="zh-CN"/>
        </w:rPr>
        <w:t>可选步骤：</w:t>
      </w:r>
    </w:p>
    <w:p w14:paraId="624FE0E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DAPI 5μg/mL in PBS染色10 分钟，或直接用含有dapi的封片剂封片。</w:t>
      </w:r>
    </w:p>
    <w:p w14:paraId="25DD5AE1">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default" w:ascii="Times New Roman" w:hAnsi="Times New Roman" w:cs="Times New Roman" w:eastAsiaTheme="minorEastAsia"/>
          <w:i w:val="0"/>
          <w:iCs w:val="0"/>
          <w:caps w:val="0"/>
          <w:spacing w:val="0"/>
          <w:sz w:val="24"/>
          <w:szCs w:val="24"/>
          <w:shd w:val="clear" w:fill="FFFFFF"/>
          <w:lang w:val="en-US" w:eastAsia="zh-CN"/>
        </w:rPr>
        <w:t>建议使用我公司普通型抗荧光衰减封片剂，以达到最佳信噪比。不要使用增强型抗荧光衰减封片剂，否则可能导致淬灭效果减弱，背景信号增强。</w:t>
      </w:r>
    </w:p>
    <w:p w14:paraId="647249DD">
      <w:pPr>
        <w:keepNext w:val="0"/>
        <w:keepLines w:val="0"/>
        <w:pageBreakBefore w:val="0"/>
        <w:widowControl w:val="0"/>
        <w:kinsoku/>
        <w:wordWrap/>
        <w:overflowPunct/>
        <w:topLinePunct w:val="0"/>
        <w:autoSpaceDE/>
        <w:autoSpaceDN/>
        <w:bidi w:val="0"/>
        <w:adjustRightInd w:val="0"/>
        <w:snapToGrid w:val="0"/>
        <w:spacing w:before="157" w:beforeLines="50" w:line="360" w:lineRule="exact"/>
        <w:textAlignment w:val="auto"/>
        <w:rPr>
          <w:rFonts w:hint="eastAsia" w:ascii="Times New Roman" w:hAnsi="Times New Roman" w:cs="Times New Roman"/>
          <w:b/>
          <w:bCs/>
          <w:i w:val="0"/>
          <w:iCs w:val="0"/>
          <w:caps w:val="0"/>
          <w:spacing w:val="0"/>
          <w:sz w:val="24"/>
          <w:szCs w:val="24"/>
          <w:shd w:val="clear" w:fill="FFFFFF"/>
          <w:lang w:val="en-US" w:eastAsia="zh-CN"/>
        </w:rPr>
      </w:pPr>
      <w:r>
        <w:rPr>
          <w:rFonts w:hint="eastAsia" w:ascii="Times New Roman" w:hAnsi="Times New Roman" w:cs="Times New Roman"/>
          <w:b/>
          <w:bCs/>
          <w:i w:val="0"/>
          <w:iCs w:val="0"/>
          <w:caps w:val="0"/>
          <w:spacing w:val="0"/>
          <w:sz w:val="24"/>
          <w:szCs w:val="24"/>
          <w:shd w:val="clear" w:fill="FFFFFF"/>
          <w:lang w:val="en-US" w:eastAsia="zh-CN"/>
        </w:rPr>
        <w:t>注意事项：</w:t>
      </w:r>
    </w:p>
    <w:p w14:paraId="5A064D8E">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b/>
          <w:bCs/>
          <w:i w:val="0"/>
          <w:iCs w:val="0"/>
          <w:caps w:val="0"/>
          <w:spacing w:val="0"/>
          <w:sz w:val="24"/>
          <w:szCs w:val="24"/>
          <w:shd w:val="clear" w:fill="FFFFFF"/>
          <w:lang w:val="en-US" w:eastAsia="zh-CN"/>
        </w:rPr>
      </w:pPr>
      <w:r>
        <w:rPr>
          <w:rFonts w:hint="eastAsia" w:ascii="Times New Roman" w:hAnsi="Times New Roman" w:cs="Times New Roman"/>
          <w:b w:val="0"/>
          <w:bCs w:val="0"/>
          <w:i w:val="0"/>
          <w:iCs w:val="0"/>
          <w:caps w:val="0"/>
          <w:spacing w:val="0"/>
          <w:sz w:val="24"/>
          <w:szCs w:val="24"/>
          <w:shd w:val="clear" w:fill="FFFFFF"/>
          <w:lang w:val="en-US" w:eastAsia="zh-CN"/>
        </w:rPr>
        <w:t>1、</w:t>
      </w:r>
      <w:r>
        <w:rPr>
          <w:rFonts w:hint="default" w:ascii="Times New Roman" w:hAnsi="Times New Roman" w:cs="Times New Roman" w:eastAsiaTheme="minorEastAsia"/>
          <w:i w:val="0"/>
          <w:iCs w:val="0"/>
          <w:caps w:val="0"/>
          <w:spacing w:val="0"/>
          <w:sz w:val="24"/>
          <w:szCs w:val="24"/>
          <w:shd w:val="clear" w:fill="FFFFFF"/>
          <w:lang w:val="en-US" w:eastAsia="zh-CN"/>
        </w:rPr>
        <w:t>本实验</w:t>
      </w:r>
      <w:r>
        <w:rPr>
          <w:rFonts w:hint="default" w:ascii="Times New Roman" w:hAnsi="Times New Roman" w:cs="Times New Roman" w:eastAsiaTheme="minorEastAsia"/>
          <w:i w:val="0"/>
          <w:iCs w:val="0"/>
          <w:caps w:val="0"/>
          <w:spacing w:val="0"/>
          <w:sz w:val="24"/>
          <w:szCs w:val="24"/>
          <w:shd w:val="clear" w:fill="FFFFFF"/>
        </w:rPr>
        <w:t>仅使用 PBS 清洗，不可替换为 TBS、HEPES 或其他缓冲液</w:t>
      </w:r>
      <w:r>
        <w:rPr>
          <w:rFonts w:hint="default" w:ascii="Times New Roman" w:hAnsi="Times New Roman" w:cs="Times New Roman" w:eastAsiaTheme="minorEastAsia"/>
          <w:i w:val="0"/>
          <w:iCs w:val="0"/>
          <w:caps w:val="0"/>
          <w:spacing w:val="0"/>
          <w:sz w:val="24"/>
          <w:szCs w:val="24"/>
          <w:shd w:val="clear" w:fill="FFFFFF"/>
          <w:lang w:val="en-US" w:eastAsia="zh-CN"/>
        </w:rPr>
        <w:t>。</w:t>
      </w:r>
    </w:p>
    <w:p w14:paraId="0E54EBA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r>
        <w:rPr>
          <w:rFonts w:hint="eastAsia" w:ascii="Times New Roman" w:hAnsi="Times New Roman" w:cs="Times New Roman"/>
          <w:i w:val="0"/>
          <w:iCs w:val="0"/>
          <w:caps w:val="0"/>
          <w:spacing w:val="0"/>
          <w:sz w:val="24"/>
          <w:szCs w:val="24"/>
          <w:shd w:val="clear" w:fill="FFFFFF"/>
          <w:lang w:val="en-US" w:eastAsia="zh-CN"/>
        </w:rPr>
        <w:t>2、</w:t>
      </w:r>
      <w:r>
        <w:rPr>
          <w:rFonts w:hint="default" w:ascii="Times New Roman" w:hAnsi="Times New Roman" w:cs="Times New Roman" w:eastAsiaTheme="minorEastAsia"/>
          <w:i w:val="0"/>
          <w:iCs w:val="0"/>
          <w:caps w:val="0"/>
          <w:spacing w:val="0"/>
          <w:sz w:val="24"/>
          <w:szCs w:val="24"/>
          <w:shd w:val="clear" w:fill="FFFFFF"/>
          <w:lang w:val="en-US" w:eastAsia="zh-CN"/>
        </w:rPr>
        <w:t>建议先做空白对照，未染色切片（不施加任何检测试剂）确定自发荧光程度。再做阴性对照，在相邻阴性对照未染色切片上，用淬灭剂孵育，观察淬灭效果。同时优化一抗稀释度，以达到最佳信噪比。</w:t>
      </w:r>
    </w:p>
    <w:p w14:paraId="43B0161A">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rPr>
          <w:rFonts w:hint="default" w:ascii="Times New Roman" w:hAnsi="Times New Roman" w:cs="Times New Roman" w:eastAsiaTheme="minorEastAsia"/>
          <w:i w:val="0"/>
          <w:iCs w:val="0"/>
          <w:caps w:val="0"/>
          <w:spacing w:val="0"/>
          <w:sz w:val="24"/>
          <w:szCs w:val="24"/>
          <w:shd w:val="clear" w:fill="FFFFFF"/>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15CAA"/>
    <w:rsid w:val="0CAE410C"/>
    <w:rsid w:val="33AE4093"/>
    <w:rsid w:val="50DB37D5"/>
    <w:rsid w:val="56FE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1084</Words>
  <Characters>1194</Characters>
  <Lines>0</Lines>
  <Paragraphs>0</Paragraphs>
  <TotalTime>11</TotalTime>
  <ScaleCrop>false</ScaleCrop>
  <LinksUpToDate>false</LinksUpToDate>
  <CharactersWithSpaces>1236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2026-06-15T03:07:00Z</dcterms:created>
  <dc:creator>fan</dc:creator>
  <cp:lastModifiedBy>赵辉</cp:lastModifiedBy>
  <cp:lastPrinted>2026-06-23T01:12:23Z</cp:lastPrinted>
  <dcterms:modified xsi:type="dcterms:W3CDTF">2026-06-23T01:14:20Z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eyJoZGlkIjoiMmY0Mzk4ZDY4OTk2MjMzMDdiNDdlMjliOGVkMTlkNzgiLCJ1c2VySWQiOiIyODY5MDcxNTkifQ==</vt:lpwstr>
  </property>
  <property fmtid="{D5CDD505-2E9C-101B-9397-08002B2CF9AE}" pid="4" name="ICV">
    <vt:lpwstr>EE97A8B3CF7F49319596A2A98B30852F_13</vt:lpwstr>
  </property>
</Properties>
</file>