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20" w:leftChars="-200" w:right="-512" w:rightChars="-244" w:firstLine="480" w:firstLineChars="0"/>
        <w:jc w:val="center"/>
        <w:rPr>
          <w:rFonts w:hint="eastAsia" w:ascii="Times New Roman" w:hAnsi="Times New Roman" w:eastAsia="宋体" w:cs="Times New Roman"/>
          <w:i w:val="0"/>
          <w:iCs w:val="0"/>
          <w:caps w:val="0"/>
          <w:color w:val="404040"/>
          <w:spacing w:val="0"/>
          <w:sz w:val="48"/>
          <w:szCs w:val="48"/>
          <w:bdr w:val="none" w:color="auto" w:sz="0" w:space="0"/>
          <w:shd w:val="clear" w:fill="FFFFFF"/>
          <w:lang w:val="en-US" w:eastAsia="zh-CN"/>
        </w:rPr>
      </w:pPr>
      <w:r>
        <w:rPr>
          <w:rFonts w:hint="default" w:ascii="Times New Roman" w:hAnsi="Times New Roman" w:eastAsia="Tahoma" w:cs="Times New Roman"/>
          <w:i w:val="0"/>
          <w:iCs w:val="0"/>
          <w:caps w:val="0"/>
          <w:color w:val="404040"/>
          <w:spacing w:val="0"/>
          <w:sz w:val="48"/>
          <w:szCs w:val="48"/>
          <w:shd w:val="clear" w:fill="FFFFFF"/>
        </w:rPr>
        <w:t>Proclin 300 </w:t>
      </w:r>
      <w:r>
        <w:rPr>
          <w:rFonts w:hint="eastAsia" w:ascii="Times New Roman" w:hAnsi="Times New Roman" w:eastAsia="宋体" w:cs="Times New Roman"/>
          <w:i w:val="0"/>
          <w:iCs w:val="0"/>
          <w:caps w:val="0"/>
          <w:color w:val="404040"/>
          <w:spacing w:val="0"/>
          <w:sz w:val="48"/>
          <w:szCs w:val="48"/>
          <w:shd w:val="clear" w:fill="FFFFFF"/>
          <w:lang w:val="en-US" w:eastAsia="zh-CN"/>
        </w:rPr>
        <w:t>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eastAsia" w:ascii="Times New Roman" w:hAnsi="Times New Roman" w:eastAsia="宋体" w:cs="Times New Roman"/>
          <w:i w:val="0"/>
          <w:iCs w:val="0"/>
          <w:caps w:val="0"/>
          <w:color w:val="404040"/>
          <w:spacing w:val="0"/>
          <w:sz w:val="24"/>
          <w:szCs w:val="24"/>
          <w:bdr w:val="none" w:color="auto" w:sz="0" w:space="0"/>
          <w:shd w:val="clear" w:fill="FFFFFF"/>
          <w:lang w:val="en-US" w:eastAsia="zh-CN"/>
        </w:rPr>
      </w:pPr>
      <w:r>
        <w:rPr>
          <w:rFonts w:hint="eastAsia" w:ascii="Times New Roman" w:hAnsi="Times New Roman" w:eastAsia="宋体" w:cs="Times New Roman"/>
          <w:b/>
          <w:bCs/>
          <w:i w:val="0"/>
          <w:iCs w:val="0"/>
          <w:caps w:val="0"/>
          <w:color w:val="404040"/>
          <w:spacing w:val="0"/>
          <w:sz w:val="24"/>
          <w:szCs w:val="24"/>
          <w:bdr w:val="none" w:color="auto" w:sz="0" w:space="0"/>
          <w:shd w:val="clear" w:fill="FFFFFF"/>
          <w:lang w:val="en-US" w:eastAsia="zh-CN"/>
        </w:rPr>
        <w:t>货号</w:t>
      </w:r>
      <w:r>
        <w:rPr>
          <w:rFonts w:hint="eastAsia" w:ascii="Times New Roman" w:hAnsi="Times New Roman" w:eastAsia="宋体" w:cs="Times New Roman"/>
          <w:i w:val="0"/>
          <w:iCs w:val="0"/>
          <w:caps w:val="0"/>
          <w:color w:val="404040"/>
          <w:spacing w:val="0"/>
          <w:sz w:val="24"/>
          <w:szCs w:val="24"/>
          <w:bdr w:val="none" w:color="auto" w:sz="0" w:space="0"/>
          <w:shd w:val="clear" w:fill="FFFFFF"/>
          <w:lang w:val="en-US" w:eastAsia="zh-CN"/>
        </w:rPr>
        <w:t>：FB18366</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imes New Roman" w:hAnsi="Times New Roman" w:eastAsia="Tahoma" w:cs="Times New Roman"/>
          <w:i w:val="0"/>
          <w:iCs w:val="0"/>
          <w:caps w:val="0"/>
          <w:color w:val="404040"/>
          <w:spacing w:val="0"/>
          <w:sz w:val="24"/>
          <w:szCs w:val="24"/>
          <w:bdr w:val="none" w:color="auto" w:sz="0" w:space="0"/>
          <w:shd w:val="clear" w:fill="FFFFFF"/>
        </w:rPr>
      </w:pPr>
      <w:r>
        <w:rPr>
          <w:rFonts w:hint="eastAsia" w:ascii="Times New Roman" w:hAnsi="Times New Roman" w:eastAsia="宋体" w:cs="Times New Roman"/>
          <w:b/>
          <w:bCs/>
          <w:i w:val="0"/>
          <w:iCs w:val="0"/>
          <w:caps w:val="0"/>
          <w:color w:val="404040"/>
          <w:spacing w:val="0"/>
          <w:sz w:val="24"/>
          <w:szCs w:val="24"/>
          <w:bdr w:val="none" w:color="auto" w:sz="0" w:space="0"/>
          <w:shd w:val="clear" w:fill="FFFFFF"/>
          <w:lang w:val="en-US" w:eastAsia="zh-CN"/>
        </w:rPr>
        <w:t>储存</w:t>
      </w:r>
      <w:r>
        <w:rPr>
          <w:rFonts w:hint="eastAsia" w:ascii="Times New Roman" w:hAnsi="Times New Roman" w:eastAsia="宋体" w:cs="Times New Roman"/>
          <w:i w:val="0"/>
          <w:iCs w:val="0"/>
          <w:caps w:val="0"/>
          <w:color w:val="404040"/>
          <w:spacing w:val="0"/>
          <w:sz w:val="24"/>
          <w:szCs w:val="24"/>
          <w:bdr w:val="none" w:color="auto" w:sz="0" w:space="0"/>
          <w:shd w:val="clear" w:fill="FFFFFF"/>
          <w:lang w:val="en-US" w:eastAsia="zh-CN"/>
        </w:rPr>
        <w:t>：常温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Proclin 300 </w:t>
      </w:r>
      <w:r>
        <w:rPr>
          <w:rFonts w:hint="eastAsia" w:ascii="宋体" w:hAnsi="宋体" w:eastAsia="宋体" w:cs="宋体"/>
          <w:i w:val="0"/>
          <w:iCs w:val="0"/>
          <w:caps w:val="0"/>
          <w:color w:val="404040"/>
          <w:spacing w:val="0"/>
          <w:sz w:val="24"/>
          <w:szCs w:val="24"/>
          <w:bdr w:val="none" w:color="auto" w:sz="0" w:space="0"/>
          <w:shd w:val="clear" w:fill="FFFFFF"/>
        </w:rPr>
        <w:t>抑菌剂是一种高效的、专用于体外诊断试剂的抑菌剂，包含用于各种试剂、质控品、校准品、缓冲液和层析中的流动相。由于该产品具有广泛的抑制微生物生长的效果、极佳的相容性和稳定性、低毒并可生物降解，是一种理想的，可替代硫柳汞（含汞有机物）、叠氮钠（易燃易爆剧毒品）、庆大霉素（抗生素原料药）等传统抑菌剂的新型抑菌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auto"/>
          <w:spacing w:val="0"/>
          <w:sz w:val="24"/>
          <w:szCs w:val="24"/>
          <w:bdr w:val="none" w:color="auto" w:sz="0" w:space="0"/>
          <w:shd w:val="clear" w:fill="FFFFFF"/>
        </w:rPr>
        <w:t>Proclin 300</w:t>
      </w:r>
      <w:r>
        <w:rPr>
          <w:rFonts w:hint="eastAsia" w:ascii="宋体" w:hAnsi="宋体" w:eastAsia="宋体" w:cs="宋体"/>
          <w:i w:val="0"/>
          <w:iCs w:val="0"/>
          <w:caps w:val="0"/>
          <w:color w:val="auto"/>
          <w:spacing w:val="0"/>
          <w:sz w:val="24"/>
          <w:szCs w:val="24"/>
          <w:bdr w:val="none" w:color="auto" w:sz="0" w:space="0"/>
          <w:shd w:val="clear" w:fill="FFFFFF"/>
        </w:rPr>
        <w:t>抑菌剂是专用于体外诊断试剂 </w:t>
      </w:r>
      <w:r>
        <w:rPr>
          <w:rFonts w:hint="default" w:ascii="Times New Roman" w:hAnsi="Times New Roman" w:eastAsia="Tahoma" w:cs="Times New Roman"/>
          <w:i w:val="0"/>
          <w:iCs w:val="0"/>
          <w:caps w:val="0"/>
          <w:color w:val="auto"/>
          <w:spacing w:val="0"/>
          <w:sz w:val="24"/>
          <w:szCs w:val="24"/>
          <w:bdr w:val="none" w:color="auto" w:sz="0" w:space="0"/>
          <w:shd w:val="clear" w:fill="FFFFFF"/>
        </w:rPr>
        <w:t>(IVD) </w:t>
      </w:r>
      <w:r>
        <w:rPr>
          <w:rFonts w:hint="eastAsia" w:ascii="宋体" w:hAnsi="宋体" w:eastAsia="宋体" w:cs="宋体"/>
          <w:i w:val="0"/>
          <w:iCs w:val="0"/>
          <w:caps w:val="0"/>
          <w:color w:val="auto"/>
          <w:spacing w:val="0"/>
          <w:sz w:val="24"/>
          <w:szCs w:val="24"/>
          <w:bdr w:val="none" w:color="auto" w:sz="0" w:space="0"/>
          <w:shd w:val="clear" w:fill="FFFFFF"/>
        </w:rPr>
        <w:t>的抑菌剂，产品有效含量约为2%，常用浓度为</w:t>
      </w:r>
      <w:r>
        <w:rPr>
          <w:rFonts w:hint="default" w:ascii="Times New Roman" w:hAnsi="Times New Roman" w:eastAsia="Tahoma" w:cs="Times New Roman"/>
          <w:i w:val="0"/>
          <w:iCs w:val="0"/>
          <w:caps w:val="0"/>
          <w:color w:val="auto"/>
          <w:spacing w:val="0"/>
          <w:sz w:val="24"/>
          <w:szCs w:val="24"/>
          <w:bdr w:val="none" w:color="auto" w:sz="0" w:space="0"/>
          <w:shd w:val="clear" w:fill="FFFFFF"/>
        </w:rPr>
        <w:t>0.0</w:t>
      </w:r>
      <w:r>
        <w:rPr>
          <w:rFonts w:hint="eastAsia" w:ascii="宋体" w:hAnsi="宋体" w:eastAsia="宋体" w:cs="宋体"/>
          <w:i w:val="0"/>
          <w:iCs w:val="0"/>
          <w:caps w:val="0"/>
          <w:color w:val="auto"/>
          <w:spacing w:val="0"/>
          <w:sz w:val="24"/>
          <w:szCs w:val="24"/>
          <w:bdr w:val="none" w:color="auto" w:sz="0" w:space="0"/>
          <w:shd w:val="clear" w:fill="FFFFFF"/>
        </w:rPr>
        <w:t>5</w:t>
      </w:r>
      <w:r>
        <w:rPr>
          <w:rFonts w:hint="default" w:ascii="Times New Roman" w:hAnsi="Times New Roman" w:eastAsia="Tahoma" w:cs="Times New Roman"/>
          <w:i w:val="0"/>
          <w:iCs w:val="0"/>
          <w:caps w:val="0"/>
          <w:color w:val="auto"/>
          <w:spacing w:val="0"/>
          <w:sz w:val="24"/>
          <w:szCs w:val="24"/>
          <w:bdr w:val="none" w:color="auto" w:sz="0" w:space="0"/>
          <w:shd w:val="clear" w:fill="FFFFFF"/>
        </w:rPr>
        <w:t>–0.</w:t>
      </w:r>
      <w:r>
        <w:rPr>
          <w:rFonts w:hint="eastAsia" w:ascii="宋体" w:hAnsi="宋体" w:eastAsia="宋体" w:cs="宋体"/>
          <w:i w:val="0"/>
          <w:iCs w:val="0"/>
          <w:caps w:val="0"/>
          <w:color w:val="auto"/>
          <w:spacing w:val="0"/>
          <w:sz w:val="24"/>
          <w:szCs w:val="24"/>
          <w:bdr w:val="none" w:color="auto" w:sz="0" w:space="0"/>
          <w:shd w:val="clear" w:fill="FFFFFF"/>
        </w:rPr>
        <w:t>1</w:t>
      </w:r>
      <w:r>
        <w:rPr>
          <w:rFonts w:hint="default" w:ascii="Times New Roman" w:hAnsi="Times New Roman" w:eastAsia="Tahoma" w:cs="Times New Roman"/>
          <w:i w:val="0"/>
          <w:iCs w:val="0"/>
          <w:caps w:val="0"/>
          <w:color w:val="auto"/>
          <w:spacing w:val="0"/>
          <w:sz w:val="24"/>
          <w:szCs w:val="24"/>
          <w:bdr w:val="none" w:color="auto" w:sz="0" w:space="0"/>
          <w:shd w:val="clear" w:fill="FFFFFF"/>
        </w:rPr>
        <w:t>% (w/w) </w:t>
      </w:r>
      <w:r>
        <w:rPr>
          <w:rFonts w:hint="eastAsia" w:ascii="宋体" w:hAnsi="宋体" w:eastAsia="宋体" w:cs="宋体"/>
          <w:i w:val="0"/>
          <w:iCs w:val="0"/>
          <w:caps w:val="0"/>
          <w:color w:val="auto"/>
          <w:spacing w:val="0"/>
          <w:sz w:val="24"/>
          <w:szCs w:val="24"/>
          <w:bdr w:val="none" w:color="auto" w:sz="0" w:space="0"/>
          <w:shd w:val="clear" w:fill="FFFFFF"/>
        </w:rPr>
        <w:t>，包</w:t>
      </w:r>
      <w:r>
        <w:rPr>
          <w:rFonts w:hint="eastAsia" w:ascii="宋体" w:hAnsi="宋体" w:eastAsia="宋体" w:cs="宋体"/>
          <w:i w:val="0"/>
          <w:iCs w:val="0"/>
          <w:caps w:val="0"/>
          <w:color w:val="404040"/>
          <w:spacing w:val="0"/>
          <w:sz w:val="24"/>
          <w:szCs w:val="24"/>
          <w:bdr w:val="none" w:color="auto" w:sz="0" w:space="0"/>
          <w:shd w:val="clear" w:fill="FFFFFF"/>
        </w:rPr>
        <w:t>含用于生化试剂、免疫试剂、分子生物试剂、电泳液、</w:t>
      </w:r>
      <w:r>
        <w:rPr>
          <w:rFonts w:hint="default" w:ascii="Times New Roman" w:hAnsi="Times New Roman" w:eastAsia="Tahoma" w:cs="Times New Roman"/>
          <w:i w:val="0"/>
          <w:iCs w:val="0"/>
          <w:caps w:val="0"/>
          <w:color w:val="404040"/>
          <w:spacing w:val="0"/>
          <w:sz w:val="24"/>
          <w:szCs w:val="24"/>
          <w:bdr w:val="none" w:color="auto" w:sz="0" w:space="0"/>
          <w:shd w:val="clear" w:fill="FFFFFF"/>
        </w:rPr>
        <w:t>PCR/DNA</w:t>
      </w:r>
      <w:r>
        <w:rPr>
          <w:rFonts w:hint="eastAsia" w:ascii="宋体" w:hAnsi="宋体" w:eastAsia="宋体" w:cs="宋体"/>
          <w:i w:val="0"/>
          <w:iCs w:val="0"/>
          <w:caps w:val="0"/>
          <w:color w:val="404040"/>
          <w:spacing w:val="0"/>
          <w:sz w:val="24"/>
          <w:szCs w:val="24"/>
          <w:bdr w:val="none" w:color="auto" w:sz="0" w:space="0"/>
          <w:shd w:val="clear" w:fill="FFFFFF"/>
        </w:rPr>
        <w:t>检测相关的缓冲剂、血细胞分析试剂、各种稀释液、缓冲液、清洗液等。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Style w:val="5"/>
          <w:rFonts w:hint="eastAsia" w:ascii="宋体" w:hAnsi="宋体" w:eastAsia="宋体" w:cs="宋体"/>
          <w:i w:val="0"/>
          <w:iCs w:val="0"/>
          <w:caps w:val="0"/>
          <w:color w:val="404040"/>
          <w:spacing w:val="0"/>
          <w:sz w:val="24"/>
          <w:szCs w:val="24"/>
          <w:bdr w:val="none" w:color="auto" w:sz="0" w:space="0"/>
          <w:shd w:val="clear" w:fill="FFFFFF"/>
        </w:rPr>
        <w:t>警告：本产品不得作为食品、饮料添加剂或保鲜剂使用。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i w:val="0"/>
          <w:iCs w:val="0"/>
          <w:caps w:val="0"/>
          <w:color w:val="404040"/>
          <w:spacing w:val="0"/>
          <w:sz w:val="21"/>
          <w:szCs w:val="21"/>
        </w:rPr>
      </w:pPr>
      <w:r>
        <w:rPr>
          <w:rStyle w:val="5"/>
          <w:rFonts w:hint="eastAsia" w:ascii="宋体" w:hAnsi="宋体" w:eastAsia="宋体" w:cs="宋体"/>
          <w:i w:val="0"/>
          <w:iCs w:val="0"/>
          <w:caps w:val="0"/>
          <w:color w:val="404040"/>
          <w:spacing w:val="0"/>
          <w:sz w:val="24"/>
          <w:szCs w:val="24"/>
          <w:bdr w:val="none" w:color="auto" w:sz="0" w:space="0"/>
          <w:shd w:val="clear" w:fill="FFFFFF"/>
        </w:rPr>
        <w:t>优点：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1. </w:t>
      </w:r>
      <w:r>
        <w:rPr>
          <w:rFonts w:hint="eastAsia" w:ascii="宋体" w:hAnsi="宋体" w:eastAsia="宋体" w:cs="宋体"/>
          <w:i w:val="0"/>
          <w:iCs w:val="0"/>
          <w:caps w:val="0"/>
          <w:color w:val="404040"/>
          <w:spacing w:val="0"/>
          <w:sz w:val="24"/>
          <w:szCs w:val="24"/>
          <w:bdr w:val="none" w:color="auto" w:sz="0" w:space="0"/>
          <w:shd w:val="clear" w:fill="FFFFFF"/>
        </w:rPr>
        <w:t>具有广谱抑菌能力，对细菌（包括</w:t>
      </w:r>
      <w:r>
        <w:rPr>
          <w:rFonts w:hint="default" w:ascii="Times New Roman" w:hAnsi="Times New Roman" w:eastAsia="Tahoma" w:cs="Times New Roman"/>
          <w:i w:val="0"/>
          <w:iCs w:val="0"/>
          <w:caps w:val="0"/>
          <w:color w:val="404040"/>
          <w:spacing w:val="0"/>
          <w:sz w:val="24"/>
          <w:szCs w:val="24"/>
          <w:bdr w:val="none" w:color="auto" w:sz="0" w:space="0"/>
          <w:shd w:val="clear" w:fill="FFFFFF"/>
        </w:rPr>
        <w:t>G</w:t>
      </w:r>
      <w:r>
        <w:rPr>
          <w:rFonts w:hint="eastAsia" w:ascii="宋体" w:hAnsi="宋体" w:eastAsia="宋体" w:cs="宋体"/>
          <w:i w:val="0"/>
          <w:iCs w:val="0"/>
          <w:caps w:val="0"/>
          <w:color w:val="404040"/>
          <w:spacing w:val="0"/>
          <w:sz w:val="24"/>
          <w:szCs w:val="24"/>
          <w:bdr w:val="none" w:color="auto" w:sz="0" w:space="0"/>
          <w:shd w:val="clear" w:fill="FFFFFF"/>
        </w:rPr>
        <w:t>阳性和阴性）、真菌和酵母菌均有效。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33" w:rightChars="-349"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2. </w:t>
      </w:r>
      <w:r>
        <w:rPr>
          <w:rFonts w:hint="eastAsia" w:ascii="宋体" w:hAnsi="宋体" w:eastAsia="宋体" w:cs="宋体"/>
          <w:i w:val="0"/>
          <w:iCs w:val="0"/>
          <w:caps w:val="0"/>
          <w:color w:val="404040"/>
          <w:spacing w:val="0"/>
          <w:sz w:val="24"/>
          <w:szCs w:val="24"/>
          <w:bdr w:val="none" w:color="auto" w:sz="0" w:space="0"/>
          <w:shd w:val="clear" w:fill="FFFFFF"/>
        </w:rPr>
        <w:t>能快速消除微生物的活性，消除生物膜并能抑制生物膜的再形成。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3. </w:t>
      </w:r>
      <w:r>
        <w:rPr>
          <w:rFonts w:hint="eastAsia" w:ascii="宋体" w:hAnsi="宋体" w:eastAsia="宋体" w:cs="宋体"/>
          <w:i w:val="0"/>
          <w:iCs w:val="0"/>
          <w:caps w:val="0"/>
          <w:color w:val="404040"/>
          <w:spacing w:val="0"/>
          <w:sz w:val="24"/>
          <w:szCs w:val="24"/>
          <w:bdr w:val="none" w:color="auto" w:sz="0" w:space="0"/>
          <w:shd w:val="clear" w:fill="FFFFFF"/>
        </w:rPr>
        <w:t>不含甲醛，其抑菌作用不是依靠甲醛的释放，低使用剂量，低成本。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4. </w:t>
      </w:r>
      <w:r>
        <w:rPr>
          <w:rFonts w:hint="eastAsia" w:ascii="宋体" w:hAnsi="宋体" w:eastAsia="宋体" w:cs="宋体"/>
          <w:i w:val="0"/>
          <w:iCs w:val="0"/>
          <w:caps w:val="0"/>
          <w:color w:val="404040"/>
          <w:spacing w:val="0"/>
          <w:sz w:val="24"/>
          <w:szCs w:val="24"/>
          <w:bdr w:val="none" w:color="auto" w:sz="0" w:space="0"/>
          <w:shd w:val="clear" w:fill="FFFFFF"/>
        </w:rPr>
        <w:t>在低浓度下（</w:t>
      </w:r>
      <w:r>
        <w:rPr>
          <w:rFonts w:hint="default" w:ascii="Times New Roman" w:hAnsi="Times New Roman" w:eastAsia="Tahoma" w:cs="Times New Roman"/>
          <w:i w:val="0"/>
          <w:iCs w:val="0"/>
          <w:caps w:val="0"/>
          <w:color w:val="404040"/>
          <w:spacing w:val="0"/>
          <w:sz w:val="24"/>
          <w:szCs w:val="24"/>
          <w:bdr w:val="none" w:color="auto" w:sz="0" w:space="0"/>
          <w:shd w:val="clear" w:fill="FFFFFF"/>
        </w:rPr>
        <w:t>15~30ppm</w:t>
      </w:r>
      <w:r>
        <w:rPr>
          <w:rFonts w:hint="eastAsia" w:ascii="宋体" w:hAnsi="宋体" w:eastAsia="宋体" w:cs="宋体"/>
          <w:i w:val="0"/>
          <w:iCs w:val="0"/>
          <w:caps w:val="0"/>
          <w:color w:val="404040"/>
          <w:spacing w:val="0"/>
          <w:sz w:val="24"/>
          <w:szCs w:val="24"/>
          <w:bdr w:val="none" w:color="auto" w:sz="0" w:space="0"/>
          <w:shd w:val="clear" w:fill="FFFFFF"/>
        </w:rPr>
        <w:t>），也能发挥良好的抑菌效果，且药效持续时间长。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5. </w:t>
      </w:r>
      <w:r>
        <w:rPr>
          <w:rFonts w:hint="eastAsia" w:ascii="宋体" w:hAnsi="宋体" w:eastAsia="宋体" w:cs="宋体"/>
          <w:i w:val="0"/>
          <w:iCs w:val="0"/>
          <w:caps w:val="0"/>
          <w:color w:val="404040"/>
          <w:spacing w:val="0"/>
          <w:sz w:val="24"/>
          <w:szCs w:val="24"/>
          <w:bdr w:val="none" w:color="auto" w:sz="0" w:space="0"/>
          <w:shd w:val="clear" w:fill="FFFFFF"/>
        </w:rPr>
        <w:t>可与广泛的配方组分如阴离子、阳离子、非离子型表面活性剂配伍。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6. </w:t>
      </w:r>
      <w:r>
        <w:rPr>
          <w:rFonts w:hint="eastAsia" w:ascii="宋体" w:hAnsi="宋体" w:eastAsia="宋体" w:cs="宋体"/>
          <w:i w:val="0"/>
          <w:iCs w:val="0"/>
          <w:caps w:val="0"/>
          <w:color w:val="404040"/>
          <w:spacing w:val="0"/>
          <w:sz w:val="24"/>
          <w:szCs w:val="24"/>
          <w:bdr w:val="none" w:color="auto" w:sz="0" w:space="0"/>
          <w:shd w:val="clear" w:fill="FFFFFF"/>
        </w:rPr>
        <w:t>优异的化学稳定性，与大多数原料或配方有很好的配伍性，不含金属离子。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7. </w:t>
      </w:r>
      <w:r>
        <w:rPr>
          <w:rFonts w:hint="eastAsia" w:ascii="宋体" w:hAnsi="宋体" w:eastAsia="宋体" w:cs="宋体"/>
          <w:i w:val="0"/>
          <w:iCs w:val="0"/>
          <w:caps w:val="0"/>
          <w:color w:val="404040"/>
          <w:spacing w:val="0"/>
          <w:sz w:val="24"/>
          <w:szCs w:val="24"/>
          <w:bdr w:val="none" w:color="auto" w:sz="0" w:space="0"/>
          <w:shd w:val="clear" w:fill="FFFFFF"/>
        </w:rPr>
        <w:t>所用的溶剂对试剂反应体系没有干扰，和关键的酶（</w:t>
      </w:r>
      <w:r>
        <w:rPr>
          <w:rFonts w:hint="default" w:ascii="Times New Roman" w:hAnsi="Times New Roman" w:eastAsia="Tahoma" w:cs="Times New Roman"/>
          <w:i w:val="0"/>
          <w:iCs w:val="0"/>
          <w:caps w:val="0"/>
          <w:color w:val="404040"/>
          <w:spacing w:val="0"/>
          <w:sz w:val="24"/>
          <w:szCs w:val="24"/>
          <w:bdr w:val="none" w:color="auto" w:sz="0" w:space="0"/>
          <w:shd w:val="clear" w:fill="FFFFFF"/>
        </w:rPr>
        <w:t>Enzymes</w:t>
      </w:r>
      <w:r>
        <w:rPr>
          <w:rFonts w:hint="eastAsia" w:ascii="宋体" w:hAnsi="宋体" w:eastAsia="宋体" w:cs="宋体"/>
          <w:i w:val="0"/>
          <w:iCs w:val="0"/>
          <w:caps w:val="0"/>
          <w:color w:val="404040"/>
          <w:spacing w:val="0"/>
          <w:sz w:val="24"/>
          <w:szCs w:val="24"/>
          <w:bdr w:val="none" w:color="auto" w:sz="0" w:space="0"/>
          <w:shd w:val="clear" w:fill="FFFFFF"/>
        </w:rPr>
        <w:t>）相容。</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8. </w:t>
      </w:r>
      <w:r>
        <w:rPr>
          <w:rFonts w:hint="eastAsia" w:ascii="宋体" w:hAnsi="宋体" w:eastAsia="宋体" w:cs="宋体"/>
          <w:i w:val="0"/>
          <w:iCs w:val="0"/>
          <w:caps w:val="0"/>
          <w:color w:val="404040"/>
          <w:spacing w:val="0"/>
          <w:sz w:val="24"/>
          <w:szCs w:val="24"/>
          <w:bdr w:val="none" w:color="auto" w:sz="0" w:space="0"/>
          <w:shd w:val="clear" w:fill="FFFFFF"/>
        </w:rPr>
        <w:t>不影响抗体结合，对离子选择电极（</w:t>
      </w:r>
      <w:r>
        <w:rPr>
          <w:rFonts w:hint="default" w:ascii="Times New Roman" w:hAnsi="Times New Roman" w:eastAsia="Tahoma" w:cs="Times New Roman"/>
          <w:i w:val="0"/>
          <w:iCs w:val="0"/>
          <w:caps w:val="0"/>
          <w:color w:val="404040"/>
          <w:spacing w:val="0"/>
          <w:sz w:val="24"/>
          <w:szCs w:val="24"/>
          <w:bdr w:val="none" w:color="auto" w:sz="0" w:space="0"/>
          <w:shd w:val="clear" w:fill="FFFFFF"/>
        </w:rPr>
        <w:t>ISE</w:t>
      </w:r>
      <w:r>
        <w:rPr>
          <w:rFonts w:hint="eastAsia" w:ascii="宋体" w:hAnsi="宋体" w:eastAsia="宋体" w:cs="宋体"/>
          <w:i w:val="0"/>
          <w:iCs w:val="0"/>
          <w:caps w:val="0"/>
          <w:color w:val="404040"/>
          <w:spacing w:val="0"/>
          <w:sz w:val="24"/>
          <w:szCs w:val="24"/>
          <w:bdr w:val="none" w:color="auto" w:sz="0" w:space="0"/>
          <w:shd w:val="clear" w:fill="FFFFFF"/>
        </w:rPr>
        <w:t>）没有干扰（氯电极除外）。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9. </w:t>
      </w:r>
      <w:r>
        <w:rPr>
          <w:rFonts w:hint="eastAsia" w:ascii="宋体" w:hAnsi="宋体" w:eastAsia="宋体" w:cs="宋体"/>
          <w:i w:val="0"/>
          <w:iCs w:val="0"/>
          <w:caps w:val="0"/>
          <w:color w:val="404040"/>
          <w:spacing w:val="0"/>
          <w:sz w:val="24"/>
          <w:szCs w:val="24"/>
          <w:bdr w:val="none" w:color="auto" w:sz="0" w:space="0"/>
          <w:shd w:val="clear" w:fill="FFFFFF"/>
        </w:rPr>
        <w:t>产品无色，不影响反应体系中指示物质吸光度的变化。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auto"/>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10.</w:t>
      </w:r>
      <w:r>
        <w:rPr>
          <w:rFonts w:hint="default" w:ascii="Times New Roman" w:hAnsi="Times New Roman" w:eastAsia="Tahoma" w:cs="Times New Roman"/>
          <w:i w:val="0"/>
          <w:iCs w:val="0"/>
          <w:caps w:val="0"/>
          <w:color w:val="auto"/>
          <w:spacing w:val="0"/>
          <w:sz w:val="24"/>
          <w:szCs w:val="24"/>
          <w:bdr w:val="none" w:color="auto" w:sz="0" w:space="0"/>
          <w:shd w:val="clear" w:fill="FFFFFF"/>
        </w:rPr>
        <w:t> </w:t>
      </w:r>
      <w:r>
        <w:rPr>
          <w:rFonts w:hint="eastAsia" w:ascii="宋体" w:hAnsi="宋体" w:eastAsia="宋体" w:cs="宋体"/>
          <w:i w:val="0"/>
          <w:iCs w:val="0"/>
          <w:caps w:val="0"/>
          <w:color w:val="auto"/>
          <w:spacing w:val="0"/>
          <w:sz w:val="24"/>
          <w:szCs w:val="24"/>
          <w:bdr w:val="none" w:color="auto" w:sz="0" w:space="0"/>
          <w:shd w:val="clear" w:fill="FFFFFF"/>
        </w:rPr>
        <w:t>适用的范围广（</w:t>
      </w:r>
      <w:r>
        <w:rPr>
          <w:rFonts w:hint="default" w:ascii="Times New Roman" w:hAnsi="Times New Roman" w:eastAsia="Tahoma" w:cs="Times New Roman"/>
          <w:i w:val="0"/>
          <w:iCs w:val="0"/>
          <w:caps w:val="0"/>
          <w:color w:val="auto"/>
          <w:spacing w:val="0"/>
          <w:sz w:val="24"/>
          <w:szCs w:val="24"/>
          <w:bdr w:val="none" w:color="auto" w:sz="0" w:space="0"/>
          <w:shd w:val="clear" w:fill="FFFFFF"/>
        </w:rPr>
        <w:t>pH </w:t>
      </w:r>
      <w:r>
        <w:rPr>
          <w:rFonts w:hint="eastAsia" w:ascii="宋体" w:hAnsi="宋体" w:eastAsia="宋体" w:cs="宋体"/>
          <w:i w:val="0"/>
          <w:iCs w:val="0"/>
          <w:caps w:val="0"/>
          <w:color w:val="auto"/>
          <w:spacing w:val="0"/>
          <w:sz w:val="24"/>
          <w:szCs w:val="24"/>
          <w:bdr w:val="none" w:color="auto" w:sz="0" w:space="0"/>
          <w:shd w:val="clear" w:fill="FFFFFF"/>
        </w:rPr>
        <w:t>不大于9），使用温度建议不超过45摄氏度。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auto"/>
          <w:spacing w:val="0"/>
          <w:sz w:val="21"/>
          <w:szCs w:val="21"/>
        </w:rPr>
      </w:pPr>
      <w:r>
        <w:rPr>
          <w:rFonts w:hint="default" w:ascii="Times New Roman" w:hAnsi="Times New Roman" w:eastAsia="Tahoma" w:cs="Times New Roman"/>
          <w:i w:val="0"/>
          <w:iCs w:val="0"/>
          <w:caps w:val="0"/>
          <w:color w:val="auto"/>
          <w:spacing w:val="0"/>
          <w:sz w:val="24"/>
          <w:szCs w:val="24"/>
          <w:bdr w:val="none" w:color="auto" w:sz="0" w:space="0"/>
          <w:shd w:val="clear" w:fill="FFFFFF"/>
        </w:rPr>
        <w:t>11. </w:t>
      </w:r>
      <w:r>
        <w:rPr>
          <w:rFonts w:hint="eastAsia" w:ascii="宋体" w:hAnsi="宋体" w:eastAsia="宋体" w:cs="宋体"/>
          <w:i w:val="0"/>
          <w:iCs w:val="0"/>
          <w:caps w:val="0"/>
          <w:color w:val="auto"/>
          <w:spacing w:val="0"/>
          <w:sz w:val="24"/>
          <w:szCs w:val="24"/>
          <w:bdr w:val="none" w:color="auto" w:sz="0" w:space="0"/>
          <w:shd w:val="clear" w:fill="FFFFFF"/>
        </w:rPr>
        <w:t>长期保存建议2-8℃，未开封产品稳定性可达到三年以上。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12. </w:t>
      </w:r>
      <w:r>
        <w:rPr>
          <w:rFonts w:hint="eastAsia" w:ascii="宋体" w:hAnsi="宋体" w:eastAsia="宋体" w:cs="宋体"/>
          <w:i w:val="0"/>
          <w:iCs w:val="0"/>
          <w:caps w:val="0"/>
          <w:color w:val="404040"/>
          <w:spacing w:val="0"/>
          <w:sz w:val="24"/>
          <w:szCs w:val="24"/>
          <w:bdr w:val="none" w:color="auto" w:sz="0" w:space="0"/>
          <w:shd w:val="clear" w:fill="FFFFFF"/>
        </w:rPr>
        <w:t>与水完全兼溶，适用于水溶液配方，在试剂盒中的稳定性好。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13. </w:t>
      </w:r>
      <w:r>
        <w:rPr>
          <w:rFonts w:hint="eastAsia" w:ascii="宋体" w:hAnsi="宋体" w:eastAsia="宋体" w:cs="宋体"/>
          <w:i w:val="0"/>
          <w:iCs w:val="0"/>
          <w:caps w:val="0"/>
          <w:color w:val="404040"/>
          <w:spacing w:val="0"/>
          <w:sz w:val="24"/>
          <w:szCs w:val="24"/>
          <w:bdr w:val="none" w:color="auto" w:sz="0" w:space="0"/>
          <w:shd w:val="clear" w:fill="FFFFFF"/>
        </w:rPr>
        <w:t>在推荐的浓度下使用无危害化学品，废弃物安全。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14. </w:t>
      </w:r>
      <w:r>
        <w:rPr>
          <w:rFonts w:hint="eastAsia" w:ascii="宋体" w:hAnsi="宋体" w:eastAsia="宋体" w:cs="宋体"/>
          <w:i w:val="0"/>
          <w:iCs w:val="0"/>
          <w:caps w:val="0"/>
          <w:color w:val="404040"/>
          <w:spacing w:val="0"/>
          <w:sz w:val="24"/>
          <w:szCs w:val="24"/>
          <w:bdr w:val="none" w:color="auto" w:sz="0" w:space="0"/>
          <w:shd w:val="clear" w:fill="FFFFFF"/>
        </w:rPr>
        <w:t>具有良好的生物降解能力，不会对环境造成污染。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left"/>
        <w:rPr>
          <w:rFonts w:hint="default" w:ascii="Tahoma" w:hAnsi="Tahoma" w:eastAsia="Tahoma" w:cs="Tahoma"/>
          <w:i w:val="0"/>
          <w:iCs w:val="0"/>
          <w:caps w:val="0"/>
          <w:color w:val="404040"/>
          <w:spacing w:val="0"/>
          <w:sz w:val="21"/>
          <w:szCs w:val="21"/>
        </w:rPr>
      </w:pPr>
      <w:r>
        <w:rPr>
          <w:rStyle w:val="5"/>
          <w:rFonts w:hint="eastAsia" w:ascii="宋体" w:hAnsi="宋体" w:eastAsia="宋体" w:cs="宋体"/>
          <w:i w:val="0"/>
          <w:iCs w:val="0"/>
          <w:caps w:val="0"/>
          <w:color w:val="404040"/>
          <w:spacing w:val="0"/>
          <w:sz w:val="24"/>
          <w:szCs w:val="24"/>
          <w:bdr w:val="none" w:color="auto" w:sz="0" w:space="0"/>
          <w:shd w:val="clear" w:fill="FFFFFF"/>
        </w:rPr>
        <w:t>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20" w:right="0" w:firstLine="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1、 Proclin 300</w:t>
      </w:r>
      <w:r>
        <w:rPr>
          <w:rFonts w:hint="eastAsia" w:ascii="宋体" w:hAnsi="宋体" w:eastAsia="宋体" w:cs="宋体"/>
          <w:i w:val="0"/>
          <w:iCs w:val="0"/>
          <w:caps w:val="0"/>
          <w:color w:val="404040"/>
          <w:spacing w:val="0"/>
          <w:sz w:val="24"/>
          <w:szCs w:val="24"/>
          <w:bdr w:val="none" w:color="auto" w:sz="0" w:space="0"/>
          <w:shd w:val="clear" w:fill="FFFFFF"/>
        </w:rPr>
        <w:t>抑菌剂的废液或泼溅物可以加入大量的酸化偏亚硫酸钠或亚硫酸氢钠，这些化学品可轻易地将 </w:t>
      </w:r>
      <w:r>
        <w:rPr>
          <w:rFonts w:hint="default" w:ascii="Times New Roman" w:hAnsi="Times New Roman" w:eastAsia="Tahoma" w:cs="Times New Roman"/>
          <w:i w:val="0"/>
          <w:iCs w:val="0"/>
          <w:caps w:val="0"/>
          <w:color w:val="404040"/>
          <w:spacing w:val="0"/>
          <w:sz w:val="24"/>
          <w:szCs w:val="24"/>
          <w:bdr w:val="none" w:color="auto" w:sz="0" w:space="0"/>
          <w:shd w:val="clear" w:fill="FFFFFF"/>
        </w:rPr>
        <w:t>Proclin 300 </w:t>
      </w:r>
      <w:r>
        <w:rPr>
          <w:rFonts w:hint="eastAsia" w:ascii="宋体" w:hAnsi="宋体" w:eastAsia="宋体" w:cs="宋体"/>
          <w:i w:val="0"/>
          <w:iCs w:val="0"/>
          <w:caps w:val="0"/>
          <w:color w:val="404040"/>
          <w:spacing w:val="0"/>
          <w:sz w:val="24"/>
          <w:szCs w:val="24"/>
          <w:bdr w:val="none" w:color="auto" w:sz="0" w:space="0"/>
          <w:shd w:val="clear" w:fill="FFFFFF"/>
        </w:rPr>
        <w:t>抑菌剂中的活性组分中和使之失去活性。为了确保快速地中和，中和溶液的浓度应该是的</w:t>
      </w:r>
      <w:r>
        <w:rPr>
          <w:rFonts w:hint="default" w:ascii="Times New Roman" w:hAnsi="Times New Roman" w:eastAsia="Tahoma" w:cs="Times New Roman"/>
          <w:i w:val="0"/>
          <w:iCs w:val="0"/>
          <w:caps w:val="0"/>
          <w:color w:val="404040"/>
          <w:spacing w:val="0"/>
          <w:sz w:val="24"/>
          <w:szCs w:val="24"/>
          <w:bdr w:val="none" w:color="auto" w:sz="0" w:space="0"/>
          <w:shd w:val="clear" w:fill="FFFFFF"/>
        </w:rPr>
        <w:t>50-100</w:t>
      </w:r>
      <w:r>
        <w:rPr>
          <w:rFonts w:hint="eastAsia" w:ascii="宋体" w:hAnsi="宋体" w:eastAsia="宋体" w:cs="宋体"/>
          <w:i w:val="0"/>
          <w:iCs w:val="0"/>
          <w:caps w:val="0"/>
          <w:color w:val="404040"/>
          <w:spacing w:val="0"/>
          <w:sz w:val="24"/>
          <w:szCs w:val="24"/>
          <w:bdr w:val="none" w:color="auto" w:sz="0" w:space="0"/>
          <w:shd w:val="clear" w:fill="FFFFFF"/>
        </w:rPr>
        <w:t>倍。通常，每</w:t>
      </w:r>
      <w:r>
        <w:rPr>
          <w:rFonts w:hint="default" w:ascii="Times New Roman" w:hAnsi="Times New Roman" w:eastAsia="Tahoma" w:cs="Times New Roman"/>
          <w:i w:val="0"/>
          <w:iCs w:val="0"/>
          <w:caps w:val="0"/>
          <w:color w:val="404040"/>
          <w:spacing w:val="0"/>
          <w:sz w:val="24"/>
          <w:szCs w:val="24"/>
          <w:bdr w:val="none" w:color="auto" w:sz="0" w:space="0"/>
          <w:shd w:val="clear" w:fill="FFFFFF"/>
        </w:rPr>
        <w:t>20</w:t>
      </w:r>
      <w:r>
        <w:rPr>
          <w:rFonts w:hint="eastAsia" w:ascii="宋体" w:hAnsi="宋体" w:eastAsia="宋体" w:cs="宋体"/>
          <w:i w:val="0"/>
          <w:iCs w:val="0"/>
          <w:caps w:val="0"/>
          <w:color w:val="404040"/>
          <w:spacing w:val="0"/>
          <w:sz w:val="24"/>
          <w:szCs w:val="24"/>
          <w:bdr w:val="none" w:color="auto" w:sz="0" w:space="0"/>
          <w:shd w:val="clear" w:fill="FFFFFF"/>
        </w:rPr>
        <w:t>份</w:t>
      </w:r>
      <w:r>
        <w:rPr>
          <w:rFonts w:hint="default" w:ascii="Times New Roman" w:hAnsi="Times New Roman" w:eastAsia="Tahoma" w:cs="Times New Roman"/>
          <w:i w:val="0"/>
          <w:iCs w:val="0"/>
          <w:caps w:val="0"/>
          <w:color w:val="404040"/>
          <w:spacing w:val="0"/>
          <w:sz w:val="24"/>
          <w:szCs w:val="24"/>
          <w:bdr w:val="none" w:color="auto" w:sz="0" w:space="0"/>
          <w:shd w:val="clear" w:fill="FFFFFF"/>
        </w:rPr>
        <w:t>10%</w:t>
      </w:r>
      <w:r>
        <w:rPr>
          <w:rFonts w:hint="eastAsia" w:ascii="宋体" w:hAnsi="宋体" w:eastAsia="宋体" w:cs="宋体"/>
          <w:i w:val="0"/>
          <w:iCs w:val="0"/>
          <w:caps w:val="0"/>
          <w:color w:val="404040"/>
          <w:spacing w:val="0"/>
          <w:sz w:val="24"/>
          <w:szCs w:val="24"/>
          <w:bdr w:val="none" w:color="auto" w:sz="0" w:space="0"/>
          <w:shd w:val="clear" w:fill="FFFFFF"/>
        </w:rPr>
        <w:t>的中和溶液就可以完全中和</w:t>
      </w:r>
      <w:r>
        <w:rPr>
          <w:rFonts w:hint="default" w:ascii="Times New Roman" w:hAnsi="Times New Roman" w:eastAsia="Tahoma" w:cs="Times New Roman"/>
          <w:i w:val="0"/>
          <w:iCs w:val="0"/>
          <w:caps w:val="0"/>
          <w:color w:val="404040"/>
          <w:spacing w:val="0"/>
          <w:sz w:val="24"/>
          <w:szCs w:val="24"/>
          <w:bdr w:val="none" w:color="auto" w:sz="0" w:space="0"/>
          <w:shd w:val="clear" w:fill="FFFFFF"/>
        </w:rPr>
        <w:t>1</w:t>
      </w:r>
      <w:r>
        <w:rPr>
          <w:rFonts w:hint="eastAsia" w:ascii="宋体" w:hAnsi="宋体" w:eastAsia="宋体" w:cs="宋体"/>
          <w:i w:val="0"/>
          <w:iCs w:val="0"/>
          <w:caps w:val="0"/>
          <w:color w:val="404040"/>
          <w:spacing w:val="0"/>
          <w:sz w:val="24"/>
          <w:szCs w:val="24"/>
          <w:bdr w:val="none" w:color="auto" w:sz="0" w:space="0"/>
          <w:shd w:val="clear" w:fill="FFFFFF"/>
        </w:rPr>
        <w:t>份的活性组分。在清理过程中，操作人员必须小心操作以免与皮肤接触。溅洒的物料可以用诸如粘土、沙子或者蛭石之类的惰性材料吸收。这些已吸收溅洒液的材料按当地法规处理之前，也可以用同样的偏亚硫酸钠或亚硫酸氢钠中和溶液进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20" w:right="0" w:firstLine="0"/>
        <w:jc w:val="left"/>
        <w:rPr>
          <w:rFonts w:hint="default" w:ascii="Tahoma" w:hAnsi="Tahoma" w:eastAsia="Tahoma" w:cs="Tahoma"/>
          <w:i w:val="0"/>
          <w:iCs w:val="0"/>
          <w:caps w:val="0"/>
          <w:color w:val="404040"/>
          <w:spacing w:val="0"/>
          <w:sz w:val="21"/>
          <w:szCs w:val="21"/>
        </w:rPr>
      </w:pPr>
      <w:r>
        <w:rPr>
          <w:rFonts w:hint="default" w:ascii="Times New Roman" w:hAnsi="Times New Roman" w:eastAsia="Tahoma" w:cs="Times New Roman"/>
          <w:i w:val="0"/>
          <w:iCs w:val="0"/>
          <w:caps w:val="0"/>
          <w:color w:val="404040"/>
          <w:spacing w:val="0"/>
          <w:sz w:val="24"/>
          <w:szCs w:val="24"/>
          <w:bdr w:val="none" w:color="auto" w:sz="0" w:space="0"/>
          <w:shd w:val="clear" w:fill="FFFFFF"/>
        </w:rPr>
        <w:t>2、 </w:t>
      </w:r>
      <w:r>
        <w:rPr>
          <w:rFonts w:hint="eastAsia" w:ascii="宋体" w:hAnsi="宋体" w:eastAsia="宋体" w:cs="宋体"/>
          <w:i w:val="0"/>
          <w:iCs w:val="0"/>
          <w:caps w:val="0"/>
          <w:color w:val="404040"/>
          <w:spacing w:val="0"/>
          <w:sz w:val="24"/>
          <w:szCs w:val="24"/>
          <w:bdr w:val="none" w:color="auto" w:sz="0" w:space="0"/>
          <w:shd w:val="clear" w:fill="FFFFFF"/>
        </w:rPr>
        <w:t>为了您的安全和健康，请穿实验服并戴一次性手套操作。</w:t>
      </w:r>
    </w:p>
    <w:p/>
    <w:sectPr>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zNDBjYmYwOTU0NGI1YTYxNTMzNzI4ZGQ0M2QwZDAifQ=="/>
  </w:docVars>
  <w:rsids>
    <w:rsidRoot w:val="00000000"/>
    <w:rsid w:val="661F1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zhaoh</dc:creator>
  <cp:lastModifiedBy>赵辉</cp:lastModifiedBy>
  <cp:lastPrinted>2023-09-07T00:44:50Z</cp:lastPrinted>
  <dcterms:modified xsi:type="dcterms:W3CDTF">2023-09-07T00:52:10Z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333DD733F89F468A823ACBA5826F3231_13</vt:lpwstr>
  </property>
</Properties>
</file>