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3"/>
        <w:ind w:left="1892" w:right="0" w:firstLine="0"/>
        <w:jc w:val="left"/>
        <w:rPr>
          <w:b/>
          <w:sz w:val="22"/>
        </w:rPr>
      </w:pPr>
      <w:r>
        <w:rPr>
          <w:b/>
          <w:sz w:val="22"/>
        </w:rPr>
        <w:t>Apremilast (CC-10004)；阿普斯特(CC10004)</w:t>
      </w:r>
    </w:p>
    <w:p>
      <w:pPr>
        <w:pStyle w:val="3"/>
        <w:spacing w:before="12"/>
        <w:ind w:left="0"/>
        <w:rPr>
          <w:b/>
          <w:sz w:val="6"/>
        </w:rPr>
      </w:pPr>
    </w:p>
    <w:p>
      <w:pPr>
        <w:pStyle w:val="3"/>
        <w:spacing w:before="53"/>
        <w:rPr>
          <w:rFonts w:hint="eastAsia" w:eastAsia="微软雅黑"/>
          <w:lang w:val="en-US" w:eastAsia="zh-CN"/>
        </w:rPr>
      </w:pPr>
      <w:r>
        <w:t>产品编号：</w:t>
      </w:r>
      <w:r>
        <w:rPr>
          <w:rFonts w:hint="eastAsia"/>
          <w:lang w:val="en-US" w:eastAsia="zh-CN"/>
        </w:rPr>
        <w:t>FB</w:t>
      </w:r>
      <w:r>
        <w:t>5676</w:t>
      </w:r>
      <w:r>
        <w:rPr>
          <w:rFonts w:hint="eastAsia"/>
          <w:lang w:val="en-US" w:eastAsia="zh-CN"/>
        </w:rPr>
        <w:t>0</w:t>
      </w:r>
    </w:p>
    <w:p>
      <w:pPr>
        <w:pStyle w:val="3"/>
        <w:spacing w:before="177" w:line="367" w:lineRule="auto"/>
        <w:ind w:right="5991"/>
      </w:pPr>
      <w:r>
        <w:t>质量标准：&gt;98%,PDE4 和 TNF-</w:t>
      </w:r>
      <w:r>
        <w:rPr>
          <w:rFonts w:ascii="Arial" w:hAnsi="Arial" w:eastAsia="Arial"/>
        </w:rPr>
        <w:t>α</w:t>
      </w:r>
      <w:r>
        <w:t>抑制剂包装规格：20MG;100MG;500MG</w:t>
      </w:r>
    </w:p>
    <w:p>
      <w:pPr>
        <w:pStyle w:val="3"/>
        <w:spacing w:before="2"/>
      </w:pPr>
      <w:r>
        <w:t>产品形式：solid</w:t>
      </w:r>
    </w:p>
    <w:p>
      <w:pPr>
        <w:pStyle w:val="2"/>
        <w:spacing w:before="175"/>
      </w:pPr>
      <w:r>
        <w:t>基本信息</w:t>
      </w:r>
    </w:p>
    <w:p>
      <w:pPr>
        <w:pStyle w:val="3"/>
        <w:spacing w:before="9"/>
        <w:ind w:left="0"/>
        <w:rPr>
          <w:b/>
          <w:sz w:val="10"/>
        </w:rPr>
      </w:pPr>
    </w:p>
    <w:tbl>
      <w:tblPr>
        <w:tblStyle w:val="4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5"/>
        <w:gridCol w:w="3685"/>
        <w:gridCol w:w="710"/>
        <w:gridCol w:w="36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1135" w:type="dxa"/>
          </w:tcPr>
          <w:p>
            <w:pPr>
              <w:pStyle w:val="8"/>
              <w:spacing w:line="308" w:lineRule="exact"/>
              <w:ind w:left="183" w:right="179"/>
              <w:jc w:val="center"/>
              <w:rPr>
                <w:sz w:val="18"/>
              </w:rPr>
            </w:pPr>
            <w:r>
              <w:rPr>
                <w:sz w:val="18"/>
              </w:rPr>
              <w:t>分子式</w:t>
            </w:r>
          </w:p>
        </w:tc>
        <w:tc>
          <w:tcPr>
            <w:tcW w:w="3685" w:type="dxa"/>
          </w:tcPr>
          <w:p>
            <w:pPr>
              <w:pStyle w:val="8"/>
              <w:spacing w:line="308" w:lineRule="exact"/>
              <w:ind w:left="433" w:right="427"/>
              <w:jc w:val="center"/>
              <w:rPr>
                <w:sz w:val="18"/>
              </w:rPr>
            </w:pPr>
            <w:r>
              <w:rPr>
                <w:sz w:val="18"/>
              </w:rPr>
              <w:t>C22H24N2O7S</w:t>
            </w:r>
          </w:p>
        </w:tc>
        <w:tc>
          <w:tcPr>
            <w:tcW w:w="710" w:type="dxa"/>
            <w:vMerge w:val="restart"/>
          </w:tcPr>
          <w:p>
            <w:pPr>
              <w:pStyle w:val="8"/>
              <w:ind w:left="0"/>
              <w:rPr>
                <w:b/>
                <w:sz w:val="24"/>
              </w:rPr>
            </w:pPr>
          </w:p>
          <w:p>
            <w:pPr>
              <w:pStyle w:val="8"/>
              <w:spacing w:before="12"/>
              <w:ind w:left="0"/>
              <w:rPr>
                <w:b/>
                <w:sz w:val="23"/>
              </w:rPr>
            </w:pPr>
          </w:p>
          <w:p>
            <w:pPr>
              <w:pStyle w:val="8"/>
              <w:spacing w:line="223" w:lineRule="auto"/>
              <w:ind w:left="263" w:right="165" w:hanging="92"/>
              <w:rPr>
                <w:sz w:val="18"/>
              </w:rPr>
            </w:pPr>
            <w:r>
              <w:rPr>
                <w:sz w:val="18"/>
              </w:rPr>
              <w:t>结构式</w:t>
            </w:r>
          </w:p>
        </w:tc>
        <w:tc>
          <w:tcPr>
            <w:tcW w:w="3601" w:type="dxa"/>
            <w:vMerge w:val="restart"/>
          </w:tcPr>
          <w:p>
            <w:pPr>
              <w:pStyle w:val="8"/>
              <w:spacing w:before="14"/>
              <w:ind w:left="0"/>
              <w:rPr>
                <w:b/>
                <w:sz w:val="19"/>
              </w:rPr>
            </w:pPr>
          </w:p>
          <w:p>
            <w:pPr>
              <w:pStyle w:val="8"/>
              <w:ind w:left="44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717675" cy="1038225"/>
                  <wp:effectExtent l="0" t="0" r="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2.pn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7996" cy="1038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135" w:type="dxa"/>
          </w:tcPr>
          <w:p>
            <w:pPr>
              <w:pStyle w:val="8"/>
              <w:spacing w:line="311" w:lineRule="exact"/>
              <w:ind w:left="183" w:right="179"/>
              <w:jc w:val="center"/>
              <w:rPr>
                <w:sz w:val="18"/>
              </w:rPr>
            </w:pPr>
            <w:r>
              <w:rPr>
                <w:sz w:val="18"/>
              </w:rPr>
              <w:t>分子量</w:t>
            </w:r>
          </w:p>
        </w:tc>
        <w:tc>
          <w:tcPr>
            <w:tcW w:w="3685" w:type="dxa"/>
          </w:tcPr>
          <w:p>
            <w:pPr>
              <w:pStyle w:val="8"/>
              <w:spacing w:line="311" w:lineRule="exact"/>
              <w:ind w:left="433" w:right="426"/>
              <w:jc w:val="center"/>
              <w:rPr>
                <w:sz w:val="18"/>
              </w:rPr>
            </w:pPr>
            <w:r>
              <w:rPr>
                <w:sz w:val="18"/>
              </w:rPr>
              <w:t>460.50</w:t>
            </w:r>
          </w:p>
        </w:tc>
        <w:tc>
          <w:tcPr>
            <w:tcW w:w="7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135" w:type="dxa"/>
          </w:tcPr>
          <w:p>
            <w:pPr>
              <w:pStyle w:val="8"/>
              <w:spacing w:line="311" w:lineRule="exact"/>
              <w:ind w:left="183" w:right="179"/>
              <w:jc w:val="center"/>
              <w:rPr>
                <w:sz w:val="18"/>
              </w:rPr>
            </w:pPr>
            <w:r>
              <w:rPr>
                <w:sz w:val="18"/>
              </w:rPr>
              <w:t>CAS No.</w:t>
            </w:r>
          </w:p>
        </w:tc>
        <w:tc>
          <w:tcPr>
            <w:tcW w:w="3685" w:type="dxa"/>
          </w:tcPr>
          <w:p>
            <w:pPr>
              <w:pStyle w:val="8"/>
              <w:spacing w:line="311" w:lineRule="exact"/>
              <w:ind w:left="431" w:right="429"/>
              <w:jc w:val="center"/>
              <w:rPr>
                <w:sz w:val="18"/>
              </w:rPr>
            </w:pPr>
            <w:r>
              <w:rPr>
                <w:sz w:val="18"/>
              </w:rPr>
              <w:t>608141-41-9</w:t>
            </w:r>
          </w:p>
        </w:tc>
        <w:tc>
          <w:tcPr>
            <w:tcW w:w="7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1135" w:type="dxa"/>
          </w:tcPr>
          <w:p>
            <w:pPr>
              <w:pStyle w:val="8"/>
              <w:spacing w:line="308" w:lineRule="exact"/>
              <w:ind w:left="186" w:right="179"/>
              <w:jc w:val="center"/>
              <w:rPr>
                <w:sz w:val="18"/>
              </w:rPr>
            </w:pPr>
            <w:r>
              <w:rPr>
                <w:sz w:val="18"/>
              </w:rPr>
              <w:t>储存条件</w:t>
            </w:r>
          </w:p>
        </w:tc>
        <w:tc>
          <w:tcPr>
            <w:tcW w:w="3685" w:type="dxa"/>
          </w:tcPr>
          <w:p>
            <w:pPr>
              <w:pStyle w:val="8"/>
              <w:spacing w:line="308" w:lineRule="exact"/>
              <w:ind w:left="433" w:right="426"/>
              <w:jc w:val="center"/>
              <w:rPr>
                <w:sz w:val="18"/>
              </w:rPr>
            </w:pPr>
            <w:r>
              <w:rPr>
                <w:sz w:val="18"/>
              </w:rPr>
              <w:t>-20℃，避光防潮密闭干燥</w:t>
            </w:r>
          </w:p>
        </w:tc>
        <w:tc>
          <w:tcPr>
            <w:tcW w:w="7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135" w:type="dxa"/>
            <w:vMerge w:val="restart"/>
          </w:tcPr>
          <w:p>
            <w:pPr>
              <w:pStyle w:val="8"/>
              <w:spacing w:before="199" w:line="223" w:lineRule="auto"/>
              <w:ind w:left="302" w:right="288" w:hanging="8"/>
              <w:rPr>
                <w:sz w:val="18"/>
              </w:rPr>
            </w:pPr>
            <w:r>
              <w:rPr>
                <w:sz w:val="18"/>
              </w:rPr>
              <w:t>溶解性(25°C)</w:t>
            </w:r>
          </w:p>
        </w:tc>
        <w:tc>
          <w:tcPr>
            <w:tcW w:w="3685" w:type="dxa"/>
          </w:tcPr>
          <w:p>
            <w:pPr>
              <w:pStyle w:val="8"/>
              <w:spacing w:line="311" w:lineRule="exact"/>
              <w:ind w:left="433" w:right="429"/>
              <w:jc w:val="center"/>
              <w:rPr>
                <w:sz w:val="18"/>
              </w:rPr>
            </w:pPr>
            <w:r>
              <w:rPr>
                <w:sz w:val="18"/>
              </w:rPr>
              <w:t>DMSO：92 mg/mL (199.78 mM)</w:t>
            </w:r>
          </w:p>
        </w:tc>
        <w:tc>
          <w:tcPr>
            <w:tcW w:w="7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13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>
            <w:pPr>
              <w:pStyle w:val="8"/>
              <w:spacing w:line="311" w:lineRule="exact"/>
              <w:ind w:left="433" w:right="427"/>
              <w:jc w:val="center"/>
              <w:rPr>
                <w:sz w:val="18"/>
              </w:rPr>
            </w:pPr>
            <w:r>
              <w:rPr>
                <w:sz w:val="18"/>
              </w:rPr>
              <w:t>Water：Insoluble</w:t>
            </w:r>
          </w:p>
        </w:tc>
        <w:tc>
          <w:tcPr>
            <w:tcW w:w="7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113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>
            <w:pPr>
              <w:pStyle w:val="8"/>
              <w:spacing w:line="308" w:lineRule="exact"/>
              <w:ind w:left="432" w:right="429"/>
              <w:jc w:val="center"/>
              <w:rPr>
                <w:sz w:val="18"/>
              </w:rPr>
            </w:pPr>
            <w:r>
              <w:rPr>
                <w:sz w:val="18"/>
              </w:rPr>
              <w:t>Ethanol：Insoluble</w:t>
            </w:r>
          </w:p>
        </w:tc>
        <w:tc>
          <w:tcPr>
            <w:tcW w:w="7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135" w:type="dxa"/>
          </w:tcPr>
          <w:p>
            <w:pPr>
              <w:pStyle w:val="8"/>
              <w:spacing w:before="64"/>
              <w:ind w:left="186" w:right="179"/>
              <w:jc w:val="center"/>
              <w:rPr>
                <w:sz w:val="18"/>
              </w:rPr>
            </w:pPr>
            <w:r>
              <w:rPr>
                <w:sz w:val="18"/>
              </w:rPr>
              <w:t>注意事项</w:t>
            </w:r>
          </w:p>
        </w:tc>
        <w:tc>
          <w:tcPr>
            <w:tcW w:w="7996" w:type="dxa"/>
            <w:gridSpan w:val="3"/>
          </w:tcPr>
          <w:p>
            <w:pPr>
              <w:pStyle w:val="8"/>
              <w:spacing w:before="64"/>
              <w:ind w:left="105"/>
              <w:rPr>
                <w:sz w:val="18"/>
              </w:rPr>
            </w:pPr>
            <w:r>
              <w:rPr>
                <w:sz w:val="18"/>
              </w:rPr>
              <w:t>溶解性是在室温下测定的，如果温度过低，可能会影响其溶解性。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135" w:type="dxa"/>
          </w:tcPr>
          <w:p>
            <w:pPr>
              <w:pStyle w:val="8"/>
              <w:spacing w:line="311" w:lineRule="exact"/>
              <w:ind w:left="186" w:right="179"/>
              <w:jc w:val="center"/>
              <w:rPr>
                <w:sz w:val="18"/>
              </w:rPr>
            </w:pPr>
            <w:r>
              <w:rPr>
                <w:sz w:val="18"/>
              </w:rPr>
              <w:t>其他说明</w:t>
            </w:r>
          </w:p>
        </w:tc>
        <w:tc>
          <w:tcPr>
            <w:tcW w:w="7996" w:type="dxa"/>
            <w:gridSpan w:val="3"/>
          </w:tcPr>
          <w:p>
            <w:pPr>
              <w:pStyle w:val="8"/>
              <w:spacing w:line="311" w:lineRule="exact"/>
              <w:ind w:left="105"/>
              <w:rPr>
                <w:sz w:val="18"/>
              </w:rPr>
            </w:pPr>
            <w:r>
              <w:rPr>
                <w:sz w:val="18"/>
              </w:rPr>
              <w:t>为了您的安全和健康，请穿实验服并戴一次性手套操作。</w:t>
            </w:r>
          </w:p>
        </w:tc>
      </w:tr>
    </w:tbl>
    <w:p>
      <w:pPr>
        <w:pStyle w:val="3"/>
        <w:spacing w:before="50"/>
      </w:pPr>
      <w:r>
        <w:rPr>
          <w:b/>
        </w:rPr>
        <w:t>简介：</w:t>
      </w:r>
      <w:r>
        <w:t>Apremilast (CC-10004)是一种口服生物有效的 PDE4 和 TNF-</w:t>
      </w:r>
      <w:r>
        <w:rPr>
          <w:rFonts w:ascii="Arial" w:hAnsi="Arial" w:eastAsia="Arial"/>
        </w:rPr>
        <w:t xml:space="preserve">α </w:t>
      </w:r>
      <w:r>
        <w:t>抑制剂。</w:t>
      </w:r>
    </w:p>
    <w:p>
      <w:pPr>
        <w:pStyle w:val="3"/>
        <w:spacing w:before="3"/>
        <w:ind w:left="0"/>
        <w:rPr>
          <w:sz w:val="13"/>
        </w:rPr>
      </w:pPr>
    </w:p>
    <w:p>
      <w:pPr>
        <w:pStyle w:val="3"/>
        <w:spacing w:line="273" w:lineRule="auto"/>
        <w:ind w:right="1902"/>
      </w:pPr>
      <w:r>
        <w:rPr>
          <w:b/>
        </w:rPr>
        <w:t>别名：</w:t>
      </w:r>
      <w:r>
        <w:t>阿普司特；CC-10004；Acetamide, N-[2-[(1S)-1-(3-ethoxy-4-methoxyphenyl)-2- (methylsulfonyl)ethyl]-2,3-dihydro-1,3- dioxo-1H-isoindol-4-yl]-</w:t>
      </w:r>
    </w:p>
    <w:p>
      <w:pPr>
        <w:pStyle w:val="2"/>
        <w:spacing w:before="194"/>
      </w:pPr>
      <w:r>
        <w:t>物理性状及指标：</w:t>
      </w:r>
    </w:p>
    <w:p>
      <w:pPr>
        <w:pStyle w:val="3"/>
        <w:tabs>
          <w:tab w:val="left" w:leader="dot" w:pos="1538"/>
        </w:tabs>
        <w:spacing w:before="1"/>
        <w:ind w:left="0" w:leftChars="0" w:firstLine="0" w:firstLineChars="0"/>
      </w:pPr>
      <w:r>
        <w:t>外观：…</w:t>
      </w:r>
      <w:r>
        <w:tab/>
      </w:r>
      <w:r>
        <w:t>白色至淡黄色固体</w:t>
      </w:r>
    </w:p>
    <w:p>
      <w:pPr>
        <w:pStyle w:val="3"/>
        <w:tabs>
          <w:tab w:val="left" w:leader="dot" w:pos="1572"/>
        </w:tabs>
        <w:ind w:left="0" w:leftChars="0" w:firstLine="0" w:firstLineChars="0"/>
      </w:pPr>
      <w:r>
        <w:t>溶解性：…</w:t>
      </w:r>
      <w:r>
        <w:tab/>
      </w:r>
      <w:r>
        <w:t>DMSO：92 mg/mL (199.78</w:t>
      </w:r>
      <w:r>
        <w:rPr>
          <w:spacing w:val="-1"/>
        </w:rPr>
        <w:t xml:space="preserve"> </w:t>
      </w:r>
      <w:r>
        <w:t>mM)；Water：Insoluble；Ethanol：Insoluble</w:t>
      </w:r>
    </w:p>
    <w:p>
      <w:pPr>
        <w:pStyle w:val="3"/>
        <w:tabs>
          <w:tab w:val="left" w:leader="dot" w:pos="1538"/>
        </w:tabs>
        <w:ind w:left="0" w:leftChars="0" w:firstLine="0" w:firstLineChars="0"/>
      </w:pPr>
      <w:r>
        <w:t>含量：…</w:t>
      </w:r>
      <w:r>
        <w:tab/>
      </w:r>
      <w:r>
        <w:t>&gt;98%</w:t>
      </w:r>
    </w:p>
    <w:p>
      <w:pPr>
        <w:pStyle w:val="3"/>
        <w:tabs>
          <w:tab w:val="left" w:leader="dot" w:pos="1538"/>
        </w:tabs>
        <w:ind w:left="0" w:leftChars="0" w:firstLine="0" w:firstLineChars="0"/>
        <w:rPr>
          <w:b/>
          <w:sz w:val="18"/>
        </w:rPr>
      </w:pPr>
      <w:r>
        <w:rPr>
          <w:b/>
          <w:sz w:val="18"/>
        </w:rPr>
        <w:t>储存条件：</w:t>
      </w:r>
      <w:r>
        <w:rPr>
          <w:sz w:val="18"/>
        </w:rPr>
        <w:t>-20℃，避光防潮密闭干燥</w:t>
      </w:r>
      <w:r>
        <w:rPr>
          <w:b/>
          <w:sz w:val="18"/>
        </w:rPr>
        <w:t>生物活性</w:t>
      </w:r>
    </w:p>
    <w:p>
      <w:pPr>
        <w:pStyle w:val="3"/>
        <w:spacing w:before="18"/>
        <w:ind w:left="0"/>
        <w:rPr>
          <w:b/>
          <w:sz w:val="10"/>
        </w:rPr>
      </w:pPr>
    </w:p>
    <w:tbl>
      <w:tblPr>
        <w:tblStyle w:val="4"/>
        <w:tblW w:w="0" w:type="auto"/>
        <w:tblInd w:w="121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5"/>
        <w:gridCol w:w="723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1085" w:type="dxa"/>
          </w:tcPr>
          <w:p>
            <w:pPr>
              <w:pStyle w:val="8"/>
              <w:spacing w:before="139"/>
              <w:rPr>
                <w:b/>
                <w:sz w:val="18"/>
              </w:rPr>
            </w:pPr>
            <w:r>
              <w:rPr>
                <w:b/>
                <w:sz w:val="18"/>
              </w:rPr>
              <w:t>产品描述</w:t>
            </w:r>
          </w:p>
        </w:tc>
        <w:tc>
          <w:tcPr>
            <w:tcW w:w="7238" w:type="dxa"/>
          </w:tcPr>
          <w:p>
            <w:pPr>
              <w:pStyle w:val="8"/>
              <w:spacing w:before="2" w:line="223" w:lineRule="auto"/>
              <w:ind w:right="111"/>
              <w:rPr>
                <w:sz w:val="18"/>
              </w:rPr>
            </w:pPr>
            <w:r>
              <w:rPr>
                <w:sz w:val="18"/>
              </w:rPr>
              <w:t>Apremilast (CC-10004)是一种口服生物有效的 PDE4 和 TNF-</w:t>
            </w:r>
            <w:r>
              <w:rPr>
                <w:rFonts w:ascii="Arial" w:hAnsi="Arial" w:eastAsia="Arial"/>
                <w:sz w:val="18"/>
              </w:rPr>
              <w:t xml:space="preserve">α </w:t>
            </w:r>
            <w:r>
              <w:rPr>
                <w:sz w:val="18"/>
              </w:rPr>
              <w:t>抑制剂，IC50 分别为 74 nM 和 77 nM。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6" w:hRule="atLeast"/>
        </w:trPr>
        <w:tc>
          <w:tcPr>
            <w:tcW w:w="1085" w:type="dxa"/>
          </w:tcPr>
          <w:p>
            <w:pPr>
              <w:pStyle w:val="8"/>
              <w:spacing w:before="16"/>
              <w:ind w:left="0"/>
              <w:rPr>
                <w:b/>
                <w:sz w:val="12"/>
              </w:rPr>
            </w:pPr>
          </w:p>
          <w:p>
            <w:pPr>
              <w:pStyle w:val="8"/>
              <w:rPr>
                <w:b/>
                <w:sz w:val="18"/>
              </w:rPr>
            </w:pPr>
            <w:r>
              <w:rPr>
                <w:b/>
                <w:sz w:val="18"/>
              </w:rPr>
              <w:t>靶点</w:t>
            </w:r>
          </w:p>
        </w:tc>
        <w:tc>
          <w:tcPr>
            <w:tcW w:w="7238" w:type="dxa"/>
          </w:tcPr>
          <w:p>
            <w:pPr>
              <w:pStyle w:val="8"/>
              <w:tabs>
                <w:tab w:val="left" w:pos="1168"/>
              </w:tabs>
              <w:spacing w:line="317" w:lineRule="exact"/>
              <w:rPr>
                <w:rFonts w:ascii="Arial" w:hAnsi="Arial"/>
                <w:sz w:val="18"/>
              </w:rPr>
            </w:pPr>
            <w:r>
              <w:rPr>
                <w:sz w:val="18"/>
              </w:rPr>
              <w:t>PDE4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TNF-</w:t>
            </w:r>
            <w:r>
              <w:rPr>
                <w:rFonts w:ascii="Arial" w:hAnsi="Arial"/>
                <w:sz w:val="18"/>
              </w:rPr>
              <w:t>α</w:t>
            </w:r>
          </w:p>
          <w:p>
            <w:pPr>
              <w:pStyle w:val="8"/>
              <w:tabs>
                <w:tab w:val="left" w:pos="1168"/>
              </w:tabs>
              <w:spacing w:before="177"/>
              <w:rPr>
                <w:sz w:val="18"/>
              </w:rPr>
            </w:pPr>
            <w:r>
              <w:rPr>
                <w:sz w:val="18"/>
              </w:rPr>
              <w:t>74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nM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77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nM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085" w:type="dxa"/>
          </w:tcPr>
          <w:p>
            <w:pPr>
              <w:pStyle w:val="8"/>
              <w:spacing w:before="38"/>
              <w:rPr>
                <w:b/>
                <w:sz w:val="18"/>
              </w:rPr>
            </w:pPr>
            <w:r>
              <w:rPr>
                <w:b/>
                <w:sz w:val="18"/>
              </w:rPr>
              <w:t>体外研究</w:t>
            </w:r>
          </w:p>
        </w:tc>
        <w:tc>
          <w:tcPr>
            <w:tcW w:w="7238" w:type="dxa"/>
          </w:tcPr>
          <w:p>
            <w:pPr>
              <w:pStyle w:val="8"/>
              <w:spacing w:line="306" w:lineRule="exact"/>
              <w:rPr>
                <w:sz w:val="18"/>
              </w:rPr>
            </w:pPr>
            <w:r>
              <w:rPr>
                <w:sz w:val="18"/>
              </w:rPr>
              <w:t>Apremilast</w:t>
            </w:r>
            <w:r>
              <w:rPr>
                <w:spacing w:val="-6"/>
                <w:sz w:val="18"/>
              </w:rPr>
              <w:t xml:space="preserve"> 抑制 </w:t>
            </w:r>
            <w:r>
              <w:rPr>
                <w:sz w:val="18"/>
              </w:rPr>
              <w:t>PDE4</w:t>
            </w:r>
            <w:r>
              <w:rPr>
                <w:spacing w:val="-5"/>
                <w:sz w:val="18"/>
              </w:rPr>
              <w:t xml:space="preserve"> 比其他 </w:t>
            </w:r>
            <w:r>
              <w:rPr>
                <w:sz w:val="18"/>
              </w:rPr>
              <w:t>PDE</w:t>
            </w:r>
            <w:r>
              <w:rPr>
                <w:spacing w:val="-5"/>
                <w:sz w:val="18"/>
              </w:rPr>
              <w:t xml:space="preserve"> 家族的 </w:t>
            </w:r>
            <w:r>
              <w:rPr>
                <w:sz w:val="18"/>
              </w:rPr>
              <w:t>cAMP</w:t>
            </w:r>
            <w:r>
              <w:rPr>
                <w:spacing w:val="-4"/>
                <w:sz w:val="18"/>
              </w:rPr>
              <w:t xml:space="preserve"> 或 </w:t>
            </w:r>
            <w:r>
              <w:rPr>
                <w:sz w:val="18"/>
              </w:rPr>
              <w:t>cGMP</w:t>
            </w:r>
            <w:r>
              <w:rPr>
                <w:spacing w:val="-3"/>
                <w:sz w:val="18"/>
              </w:rPr>
              <w:t xml:space="preserve"> 水解酶更有效。</w:t>
            </w:r>
            <w:r>
              <w:rPr>
                <w:sz w:val="18"/>
              </w:rPr>
              <w:t>Apremilast</w:t>
            </w:r>
            <w:r>
              <w:rPr>
                <w:spacing w:val="-6"/>
                <w:sz w:val="18"/>
              </w:rPr>
              <w:t xml:space="preserve"> 作</w:t>
            </w:r>
          </w:p>
          <w:p>
            <w:pPr>
              <w:pStyle w:val="8"/>
              <w:spacing w:line="293" w:lineRule="exact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用于多种类型的细胞，具有广泛的抗炎活性，抑制 </w:t>
            </w:r>
            <w:r>
              <w:rPr>
                <w:sz w:val="18"/>
              </w:rPr>
              <w:t>TNF-</w:t>
            </w:r>
            <w:r>
              <w:rPr>
                <w:rFonts w:ascii="Arial" w:hAnsi="Arial" w:eastAsia="Arial"/>
                <w:sz w:val="18"/>
              </w:rPr>
              <w:t>α</w:t>
            </w:r>
            <w:r>
              <w:rPr>
                <w:sz w:val="18"/>
              </w:rPr>
              <w:t>,IL-12</w:t>
            </w:r>
            <w:r>
              <w:rPr>
                <w:spacing w:val="-5"/>
                <w:sz w:val="18"/>
              </w:rPr>
              <w:t xml:space="preserve"> 和 </w:t>
            </w:r>
            <w:r>
              <w:rPr>
                <w:sz w:val="18"/>
              </w:rPr>
              <w:t>IL-23</w:t>
            </w:r>
            <w:r>
              <w:rPr>
                <w:spacing w:val="-4"/>
                <w:sz w:val="18"/>
              </w:rPr>
              <w:t xml:space="preserve"> 的产量，及 </w:t>
            </w:r>
            <w:r>
              <w:rPr>
                <w:sz w:val="18"/>
              </w:rPr>
              <w:t>NK</w:t>
            </w:r>
            <w:r>
              <w:rPr>
                <w:spacing w:val="-3"/>
                <w:sz w:val="18"/>
              </w:rPr>
              <w:t xml:space="preserve"> 和</w:t>
            </w:r>
          </w:p>
        </w:tc>
      </w:tr>
    </w:tbl>
    <w:p>
      <w:pPr>
        <w:spacing w:after="0" w:line="293" w:lineRule="exact"/>
        <w:rPr>
          <w:sz w:val="18"/>
        </w:rPr>
        <w:sectPr>
          <w:headerReference r:id="rId3" w:type="default"/>
          <w:type w:val="continuous"/>
          <w:pgSz w:w="11910" w:h="16840"/>
          <w:pgMar w:top="1500" w:right="860" w:bottom="1280" w:left="1680" w:header="708" w:footer="1098" w:gutter="0"/>
        </w:sectPr>
      </w:pPr>
    </w:p>
    <w:tbl>
      <w:tblPr>
        <w:tblStyle w:val="4"/>
        <w:tblW w:w="0" w:type="auto"/>
        <w:tblInd w:w="121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5"/>
        <w:gridCol w:w="723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4" w:hRule="atLeast"/>
        </w:trPr>
        <w:tc>
          <w:tcPr>
            <w:tcW w:w="1085" w:type="dxa"/>
          </w:tcPr>
          <w:p>
            <w:pPr>
              <w:pStyle w:val="8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7238" w:type="dxa"/>
          </w:tcPr>
          <w:p>
            <w:pPr>
              <w:pStyle w:val="8"/>
              <w:spacing w:before="2" w:line="223" w:lineRule="auto"/>
              <w:ind w:right="-15"/>
              <w:rPr>
                <w:sz w:val="18"/>
              </w:rPr>
            </w:pPr>
            <w:r>
              <w:rPr>
                <w:sz w:val="18"/>
              </w:rPr>
              <w:t>角质形成细胞的反应。Apremilast</w:t>
            </w:r>
            <w:r>
              <w:rPr>
                <w:spacing w:val="-3"/>
                <w:sz w:val="18"/>
              </w:rPr>
              <w:t xml:space="preserve"> 抑制 </w:t>
            </w:r>
            <w:r>
              <w:rPr>
                <w:sz w:val="18"/>
              </w:rPr>
              <w:t>IL-8</w:t>
            </w:r>
            <w:r>
              <w:rPr>
                <w:spacing w:val="-3"/>
                <w:sz w:val="18"/>
              </w:rPr>
              <w:t xml:space="preserve"> 中酵母多糖诱导的 </w:t>
            </w:r>
            <w:r>
              <w:rPr>
                <w:sz w:val="18"/>
              </w:rPr>
              <w:t>PMN</w:t>
            </w:r>
            <w:r>
              <w:rPr>
                <w:spacing w:val="-2"/>
                <w:sz w:val="18"/>
              </w:rPr>
              <w:t xml:space="preserve"> 产生</w:t>
            </w:r>
            <w:r>
              <w:rPr>
                <w:sz w:val="18"/>
              </w:rPr>
              <w:t>，IC50</w:t>
            </w:r>
            <w:r>
              <w:rPr>
                <w:spacing w:val="-3"/>
                <w:sz w:val="18"/>
              </w:rPr>
              <w:t xml:space="preserve"> 为 </w:t>
            </w:r>
            <w:r>
              <w:rPr>
                <w:sz w:val="18"/>
              </w:rPr>
              <w:t>94 nM。Apremilast</w:t>
            </w:r>
            <w:r>
              <w:rPr>
                <w:spacing w:val="-4"/>
                <w:sz w:val="18"/>
              </w:rPr>
              <w:t xml:space="preserve"> 抑制 </w:t>
            </w:r>
            <w:r>
              <w:rPr>
                <w:sz w:val="18"/>
              </w:rPr>
              <w:t>fMLF</w:t>
            </w:r>
            <w:r>
              <w:rPr>
                <w:spacing w:val="-5"/>
                <w:sz w:val="18"/>
              </w:rPr>
              <w:t xml:space="preserve"> 诱导的 </w:t>
            </w:r>
            <w:r>
              <w:rPr>
                <w:sz w:val="18"/>
              </w:rPr>
              <w:t>PMN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CD18</w:t>
            </w:r>
            <w:r>
              <w:rPr>
                <w:spacing w:val="-5"/>
                <w:sz w:val="18"/>
              </w:rPr>
              <w:t xml:space="preserve"> 和 </w:t>
            </w:r>
            <w:r>
              <w:rPr>
                <w:sz w:val="18"/>
              </w:rPr>
              <w:t>CD11b</w:t>
            </w:r>
            <w:r>
              <w:rPr>
                <w:spacing w:val="-4"/>
                <w:sz w:val="18"/>
              </w:rPr>
              <w:t xml:space="preserve"> 表达</w:t>
            </w:r>
            <w:r>
              <w:rPr>
                <w:sz w:val="18"/>
              </w:rPr>
              <w:t>，IC50</w:t>
            </w:r>
            <w:r>
              <w:rPr>
                <w:spacing w:val="-5"/>
                <w:sz w:val="18"/>
              </w:rPr>
              <w:t xml:space="preserve"> 分别为 </w:t>
            </w:r>
            <w:r>
              <w:rPr>
                <w:sz w:val="18"/>
              </w:rPr>
              <w:t>390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nM</w:t>
            </w:r>
            <w:r>
              <w:rPr>
                <w:spacing w:val="-1"/>
                <w:sz w:val="18"/>
              </w:rPr>
              <w:t xml:space="preserve"> 和74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nM</w:t>
            </w:r>
            <w:r>
              <w:rPr>
                <w:spacing w:val="-3"/>
                <w:sz w:val="18"/>
              </w:rPr>
              <w:t xml:space="preserve">, 且抑制 </w:t>
            </w:r>
            <w:r>
              <w:rPr>
                <w:sz w:val="18"/>
              </w:rPr>
              <w:t>fMLF</w:t>
            </w:r>
            <w:r>
              <w:rPr>
                <w:spacing w:val="-5"/>
                <w:sz w:val="18"/>
              </w:rPr>
              <w:t xml:space="preserve"> 诱导的 </w:t>
            </w:r>
            <w:r>
              <w:rPr>
                <w:sz w:val="18"/>
              </w:rPr>
              <w:t>PMN</w:t>
            </w:r>
            <w:r>
              <w:rPr>
                <w:spacing w:val="-7"/>
                <w:sz w:val="18"/>
              </w:rPr>
              <w:t xml:space="preserve"> 与 </w:t>
            </w:r>
            <w:r>
              <w:rPr>
                <w:sz w:val="18"/>
              </w:rPr>
              <w:t>HUVECs</w:t>
            </w:r>
            <w:r>
              <w:rPr>
                <w:spacing w:val="-1"/>
                <w:sz w:val="18"/>
              </w:rPr>
              <w:t xml:space="preserve"> 粘连</w:t>
            </w:r>
            <w:r>
              <w:rPr>
                <w:sz w:val="18"/>
              </w:rPr>
              <w:t>，IC50</w:t>
            </w:r>
            <w:r>
              <w:rPr>
                <w:spacing w:val="-4"/>
                <w:sz w:val="18"/>
              </w:rPr>
              <w:t xml:space="preserve"> 为 </w:t>
            </w:r>
            <w:r>
              <w:rPr>
                <w:sz w:val="18"/>
              </w:rPr>
              <w:t>150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nM。Apremilast</w:t>
            </w:r>
            <w:r>
              <w:rPr>
                <w:spacing w:val="-1"/>
                <w:sz w:val="18"/>
              </w:rPr>
              <w:t xml:space="preserve"> 抑制</w:t>
            </w:r>
            <w:r>
              <w:rPr>
                <w:spacing w:val="-3"/>
                <w:sz w:val="18"/>
              </w:rPr>
              <w:t xml:space="preserve">角质形成细胞 </w:t>
            </w:r>
            <w:r>
              <w:rPr>
                <w:sz w:val="18"/>
              </w:rPr>
              <w:t>TNF-</w:t>
            </w:r>
            <w:r>
              <w:rPr>
                <w:rFonts w:ascii="Arial" w:hAnsi="Arial" w:eastAsia="Arial"/>
                <w:sz w:val="18"/>
              </w:rPr>
              <w:t>α</w:t>
            </w:r>
            <w:r>
              <w:rPr>
                <w:rFonts w:ascii="Arial" w:hAnsi="Arial" w:eastAsia="Arial"/>
                <w:spacing w:val="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 xml:space="preserve">的产生, 通过测量细胞内 </w:t>
            </w:r>
            <w:r>
              <w:rPr>
                <w:sz w:val="18"/>
              </w:rPr>
              <w:t>ATP</w:t>
            </w:r>
            <w:r>
              <w:rPr>
                <w:spacing w:val="6"/>
                <w:sz w:val="18"/>
              </w:rPr>
              <w:t xml:space="preserve"> 水平发现</w:t>
            </w:r>
            <w:r>
              <w:rPr>
                <w:sz w:val="18"/>
              </w:rPr>
              <w:t>Apremilast</w:t>
            </w:r>
            <w:r>
              <w:rPr>
                <w:spacing w:val="-3"/>
                <w:sz w:val="18"/>
              </w:rPr>
              <w:t xml:space="preserve"> 对角质形成细胞存活力没有影响。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4" w:hRule="atLeast"/>
        </w:trPr>
        <w:tc>
          <w:tcPr>
            <w:tcW w:w="1085" w:type="dxa"/>
          </w:tcPr>
          <w:p>
            <w:pPr>
              <w:pStyle w:val="8"/>
              <w:spacing w:before="9"/>
              <w:ind w:left="0"/>
              <w:rPr>
                <w:b/>
                <w:sz w:val="32"/>
              </w:rPr>
            </w:pPr>
          </w:p>
          <w:p>
            <w:pPr>
              <w:pStyle w:val="8"/>
              <w:spacing w:before="1"/>
              <w:rPr>
                <w:b/>
                <w:sz w:val="18"/>
              </w:rPr>
            </w:pPr>
            <w:r>
              <w:rPr>
                <w:b/>
                <w:sz w:val="18"/>
              </w:rPr>
              <w:t>体内研究</w:t>
            </w:r>
          </w:p>
        </w:tc>
        <w:tc>
          <w:tcPr>
            <w:tcW w:w="7238" w:type="dxa"/>
          </w:tcPr>
          <w:p>
            <w:pPr>
              <w:pStyle w:val="8"/>
              <w:spacing w:before="2" w:line="223" w:lineRule="auto"/>
              <w:ind w:right="52"/>
              <w:rPr>
                <w:sz w:val="18"/>
              </w:rPr>
            </w:pPr>
            <w:r>
              <w:rPr>
                <w:sz w:val="18"/>
              </w:rPr>
              <w:t>在有人类微粒体(t1/2&gt;60 min)存在时，Apremilast 是稳定的。90%蛋白在人体血浆中结合。口服和静脉给药雌性大鼠，显示 Apremilast 具有良好的药代动力学，低清除力，适中的容积分布，口服生物利用度为 64%。Apremilast 在体内处理 LPS 诱导的 TNF-</w:t>
            </w:r>
            <w:r>
              <w:rPr>
                <w:rFonts w:ascii="Arial" w:hAnsi="Arial" w:eastAsia="Arial"/>
                <w:sz w:val="18"/>
              </w:rPr>
              <w:t xml:space="preserve">α </w:t>
            </w:r>
            <w:r>
              <w:rPr>
                <w:sz w:val="18"/>
              </w:rPr>
              <w:t>抑制大鼠模型，检测 Apremilast 抑制 TNF-</w:t>
            </w:r>
            <w:r>
              <w:rPr>
                <w:rFonts w:ascii="Arial" w:hAnsi="Arial" w:eastAsia="Arial"/>
                <w:sz w:val="18"/>
              </w:rPr>
              <w:t xml:space="preserve">α </w:t>
            </w:r>
            <w:r>
              <w:rPr>
                <w:sz w:val="18"/>
              </w:rPr>
              <w:t>的能力，测定 ED50 为 0.03 mg/kg。Apremilast 处理另一个 LPS 诱导的中性粒细胞大鼠模型，ED50 为 0.3 mg/kg 到 0.9 mg/kg</w:t>
            </w:r>
          </w:p>
        </w:tc>
      </w:tr>
    </w:tbl>
    <w:p>
      <w:pPr>
        <w:pStyle w:val="2"/>
        <w:spacing w:line="326" w:lineRule="exact"/>
      </w:pPr>
      <w:r>
        <w:t>相关产品推荐(更多相关靶点抑制剂请详询官网或客服)</w:t>
      </w:r>
    </w:p>
    <w:p>
      <w:pPr>
        <w:pStyle w:val="3"/>
        <w:spacing w:before="9"/>
        <w:ind w:left="0"/>
        <w:rPr>
          <w:b/>
          <w:sz w:val="10"/>
        </w:rPr>
      </w:pPr>
    </w:p>
    <w:tbl>
      <w:tblPr>
        <w:tblStyle w:val="4"/>
        <w:tblW w:w="0" w:type="auto"/>
        <w:tblInd w:w="121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28"/>
        <w:gridCol w:w="524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3128" w:type="dxa"/>
          </w:tcPr>
          <w:p>
            <w:pPr>
              <w:pStyle w:val="8"/>
              <w:spacing w:line="317" w:lineRule="exact"/>
              <w:ind w:left="1185" w:right="1175"/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F</w:t>
            </w:r>
            <w:r>
              <w:rPr>
                <w:sz w:val="18"/>
              </w:rPr>
              <w:t>B</w:t>
            </w:r>
            <w:r>
              <w:rPr>
                <w:rFonts w:hint="eastAsia"/>
                <w:sz w:val="18"/>
                <w:lang w:val="en-US" w:eastAsia="zh-CN"/>
              </w:rPr>
              <w:t>0</w:t>
            </w:r>
            <w:r>
              <w:rPr>
                <w:sz w:val="18"/>
              </w:rPr>
              <w:t>4342</w:t>
            </w:r>
          </w:p>
        </w:tc>
        <w:tc>
          <w:tcPr>
            <w:tcW w:w="5246" w:type="dxa"/>
          </w:tcPr>
          <w:p>
            <w:pPr>
              <w:pStyle w:val="8"/>
              <w:spacing w:line="317" w:lineRule="exact"/>
              <w:ind w:left="2108" w:right="2096"/>
              <w:jc w:val="center"/>
              <w:rPr>
                <w:sz w:val="18"/>
              </w:rPr>
            </w:pPr>
            <w:r>
              <w:fldChar w:fldCharType="begin"/>
            </w:r>
            <w:r>
              <w:instrText xml:space="preserve"> HYPERLINK "http://www.meilune.com/goods.php?id=17183" \h </w:instrText>
            </w:r>
            <w:r>
              <w:fldChar w:fldCharType="separate"/>
            </w:r>
            <w:r>
              <w:rPr>
                <w:color w:val="333333"/>
                <w:sz w:val="18"/>
              </w:rPr>
              <w:t>GSK256066</w:t>
            </w:r>
            <w:r>
              <w:rPr>
                <w:color w:val="333333"/>
                <w:sz w:val="18"/>
              </w:rPr>
              <w:fldChar w:fldCharType="end"/>
            </w:r>
          </w:p>
        </w:tc>
      </w:tr>
    </w:tbl>
    <w:p>
      <w:pPr>
        <w:pStyle w:val="3"/>
        <w:spacing w:before="1" w:line="223" w:lineRule="auto"/>
        <w:ind w:left="0" w:leftChars="0" w:right="1068" w:firstLine="0" w:firstLineChars="0"/>
      </w:pPr>
      <w:r>
        <w:rPr>
          <w:b/>
        </w:rPr>
        <w:t>用途及描述</w:t>
      </w:r>
      <w:r>
        <w:t>：科研试剂，广泛应用于分子生物学，药理学等科研方面，严禁用于人体。本品 Apremilast 是一种磷酸二酯酶 4 (</w:t>
      </w:r>
      <w:r>
        <w:rPr>
          <w:b/>
        </w:rPr>
        <w:t>PDE4</w:t>
      </w:r>
      <w:r>
        <w:t>) 抑制剂，可用于相关领域的科研实验。</w:t>
      </w:r>
    </w:p>
    <w:p>
      <w:pPr>
        <w:pStyle w:val="3"/>
        <w:spacing w:before="1" w:line="223" w:lineRule="auto"/>
        <w:ind w:left="0" w:leftChars="0" w:right="1068" w:firstLine="0" w:firstLineChars="0"/>
      </w:pPr>
      <w:r>
        <mc:AlternateContent>
          <mc:Choice Requires="wps">
            <w:drawing>
              <wp:anchor distT="0" distB="0" distL="114300" distR="114300" simplePos="0" relativeHeight="251168768" behindDoc="1" locked="0" layoutInCell="1" allowOverlap="1">
                <wp:simplePos x="0" y="0"/>
                <wp:positionH relativeFrom="page">
                  <wp:posOffset>1170305</wp:posOffset>
                </wp:positionH>
                <wp:positionV relativeFrom="paragraph">
                  <wp:posOffset>466090</wp:posOffset>
                </wp:positionV>
                <wp:extent cx="1838960" cy="473075"/>
                <wp:effectExtent l="635" t="4445" r="8255" b="17780"/>
                <wp:wrapNone/>
                <wp:docPr id="2" name="任意多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8960" cy="47307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2896" h="745">
                              <a:moveTo>
                                <a:pt x="1448" y="0"/>
                              </a:moveTo>
                              <a:lnTo>
                                <a:pt x="2896" y="745"/>
                              </a:lnTo>
                              <a:moveTo>
                                <a:pt x="0" y="372"/>
                              </a:moveTo>
                              <a:lnTo>
                                <a:pt x="2896" y="745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92.15pt;margin-top:36.7pt;height:37.25pt;width:144.8pt;mso-position-horizontal-relative:page;z-index:-252147712;mso-width-relative:page;mso-height-relative:page;" filled="f" stroked="t" coordsize="2896,745" o:gfxdata="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ER2WmjZAAAACgEAAA8AAAAA&#10;AAAAAQAgAAAAIgAAAGRycy9kb3ducmV2LnhtbFBLAQIUABQAAAAIAIdO4kAsF06VTAIAAOcEAAAO&#10;AAAAAAAAAAEAIAAAACgBAABkcnMvZTJvRG9jLnhtbFBLBQYAAAAABgAGAFkBAADmBQAAAAA=&#10;" path="m1448,0l2896,745m0,372l2896,745e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t>储液配置</w:t>
      </w:r>
    </w:p>
    <w:p>
      <w:pPr>
        <w:pStyle w:val="3"/>
        <w:spacing w:before="10"/>
        <w:ind w:left="0"/>
        <w:rPr>
          <w:b/>
          <w:sz w:val="10"/>
        </w:rPr>
      </w:pPr>
    </w:p>
    <w:tbl>
      <w:tblPr>
        <w:tblStyle w:val="4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73"/>
        <w:gridCol w:w="1493"/>
        <w:gridCol w:w="1648"/>
        <w:gridCol w:w="21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2973" w:type="dxa"/>
          </w:tcPr>
          <w:p>
            <w:pPr>
              <w:pStyle w:val="8"/>
              <w:tabs>
                <w:tab w:val="left" w:pos="2121"/>
                <w:tab w:val="left" w:pos="2515"/>
              </w:tabs>
              <w:spacing w:before="57" w:line="182" w:lineRule="auto"/>
              <w:ind w:left="892"/>
              <w:rPr>
                <w:sz w:val="18"/>
              </w:rPr>
            </w:pPr>
            <w:r>
              <w:rPr>
                <w:position w:val="-7"/>
                <w:sz w:val="18"/>
              </w:rPr>
              <w:t>体</w:t>
            </w:r>
            <w:r>
              <w:rPr>
                <w:position w:val="-7"/>
                <w:sz w:val="18"/>
              </w:rPr>
              <w:tab/>
            </w:r>
            <w:r>
              <w:rPr>
                <w:sz w:val="18"/>
              </w:rPr>
              <w:t>质</w:t>
            </w:r>
            <w:r>
              <w:rPr>
                <w:sz w:val="18"/>
              </w:rPr>
              <w:tab/>
            </w:r>
            <w:r>
              <w:rPr>
                <w:position w:val="-9"/>
                <w:sz w:val="18"/>
              </w:rPr>
              <w:t>量</w:t>
            </w:r>
          </w:p>
          <w:p>
            <w:pPr>
              <w:pStyle w:val="8"/>
              <w:tabs>
                <w:tab w:val="left" w:pos="1908"/>
              </w:tabs>
              <w:spacing w:line="395" w:lineRule="exact"/>
              <w:ind w:left="362"/>
              <w:rPr>
                <w:sz w:val="18"/>
              </w:rPr>
            </w:pPr>
            <w:r>
              <w:rPr>
                <w:sz w:val="18"/>
              </w:rPr>
              <w:t>浓度</w:t>
            </w:r>
            <w:r>
              <w:rPr>
                <w:sz w:val="18"/>
              </w:rPr>
              <w:tab/>
            </w:r>
            <w:r>
              <w:rPr>
                <w:position w:val="11"/>
                <w:sz w:val="18"/>
              </w:rPr>
              <w:t>积</w:t>
            </w:r>
          </w:p>
        </w:tc>
        <w:tc>
          <w:tcPr>
            <w:tcW w:w="1493" w:type="dxa"/>
          </w:tcPr>
          <w:p>
            <w:pPr>
              <w:pStyle w:val="8"/>
              <w:spacing w:before="160"/>
              <w:ind w:left="76"/>
              <w:rPr>
                <w:sz w:val="18"/>
              </w:rPr>
            </w:pPr>
            <w:r>
              <w:rPr>
                <w:sz w:val="18"/>
              </w:rPr>
              <w:t>1 mg</w:t>
            </w:r>
          </w:p>
        </w:tc>
        <w:tc>
          <w:tcPr>
            <w:tcW w:w="1648" w:type="dxa"/>
          </w:tcPr>
          <w:p>
            <w:pPr>
              <w:pStyle w:val="8"/>
              <w:spacing w:before="160"/>
              <w:ind w:left="73"/>
              <w:rPr>
                <w:sz w:val="18"/>
              </w:rPr>
            </w:pPr>
            <w:r>
              <w:rPr>
                <w:sz w:val="18"/>
              </w:rPr>
              <w:t>5 mg</w:t>
            </w:r>
          </w:p>
        </w:tc>
        <w:tc>
          <w:tcPr>
            <w:tcW w:w="2178" w:type="dxa"/>
          </w:tcPr>
          <w:p>
            <w:pPr>
              <w:pStyle w:val="8"/>
              <w:spacing w:before="160"/>
              <w:ind w:left="72"/>
              <w:rPr>
                <w:sz w:val="18"/>
              </w:rPr>
            </w:pPr>
            <w:r>
              <w:rPr>
                <w:sz w:val="18"/>
              </w:rPr>
              <w:t>10 mg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2973" w:type="dxa"/>
          </w:tcPr>
          <w:p>
            <w:pPr>
              <w:pStyle w:val="8"/>
              <w:spacing w:before="60"/>
              <w:ind w:left="74"/>
              <w:rPr>
                <w:sz w:val="18"/>
              </w:rPr>
            </w:pPr>
            <w:r>
              <w:rPr>
                <w:sz w:val="18"/>
              </w:rPr>
              <w:t>1 mM</w:t>
            </w:r>
          </w:p>
        </w:tc>
        <w:tc>
          <w:tcPr>
            <w:tcW w:w="1493" w:type="dxa"/>
          </w:tcPr>
          <w:p>
            <w:pPr>
              <w:pStyle w:val="8"/>
              <w:spacing w:before="60"/>
              <w:ind w:left="76"/>
              <w:rPr>
                <w:sz w:val="18"/>
              </w:rPr>
            </w:pPr>
            <w:r>
              <w:rPr>
                <w:sz w:val="18"/>
              </w:rPr>
              <w:t>2.1716 mL</w:t>
            </w:r>
          </w:p>
        </w:tc>
        <w:tc>
          <w:tcPr>
            <w:tcW w:w="1648" w:type="dxa"/>
          </w:tcPr>
          <w:p>
            <w:pPr>
              <w:pStyle w:val="8"/>
              <w:spacing w:before="60"/>
              <w:ind w:left="73"/>
              <w:rPr>
                <w:sz w:val="18"/>
              </w:rPr>
            </w:pPr>
            <w:r>
              <w:rPr>
                <w:sz w:val="18"/>
              </w:rPr>
              <w:t>10.8578 mL</w:t>
            </w:r>
          </w:p>
        </w:tc>
        <w:tc>
          <w:tcPr>
            <w:tcW w:w="2178" w:type="dxa"/>
          </w:tcPr>
          <w:p>
            <w:pPr>
              <w:pStyle w:val="8"/>
              <w:spacing w:before="60"/>
              <w:ind w:left="72"/>
              <w:rPr>
                <w:sz w:val="18"/>
              </w:rPr>
            </w:pPr>
            <w:r>
              <w:rPr>
                <w:sz w:val="18"/>
              </w:rPr>
              <w:t>21.7155 mL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973" w:type="dxa"/>
          </w:tcPr>
          <w:p>
            <w:pPr>
              <w:pStyle w:val="8"/>
              <w:spacing w:before="62"/>
              <w:ind w:left="74"/>
              <w:rPr>
                <w:sz w:val="18"/>
              </w:rPr>
            </w:pPr>
            <w:r>
              <w:rPr>
                <w:sz w:val="18"/>
              </w:rPr>
              <w:t>5 mM</w:t>
            </w:r>
          </w:p>
        </w:tc>
        <w:tc>
          <w:tcPr>
            <w:tcW w:w="1493" w:type="dxa"/>
          </w:tcPr>
          <w:p>
            <w:pPr>
              <w:pStyle w:val="8"/>
              <w:spacing w:before="62"/>
              <w:ind w:left="76"/>
              <w:rPr>
                <w:sz w:val="18"/>
              </w:rPr>
            </w:pPr>
            <w:r>
              <w:rPr>
                <w:sz w:val="18"/>
              </w:rPr>
              <w:t>0.4343 mL</w:t>
            </w:r>
          </w:p>
        </w:tc>
        <w:tc>
          <w:tcPr>
            <w:tcW w:w="1648" w:type="dxa"/>
          </w:tcPr>
          <w:p>
            <w:pPr>
              <w:pStyle w:val="8"/>
              <w:spacing w:before="62"/>
              <w:ind w:left="73"/>
              <w:rPr>
                <w:sz w:val="18"/>
              </w:rPr>
            </w:pPr>
            <w:r>
              <w:rPr>
                <w:sz w:val="18"/>
              </w:rPr>
              <w:t>2.1716 mL</w:t>
            </w:r>
          </w:p>
        </w:tc>
        <w:tc>
          <w:tcPr>
            <w:tcW w:w="2178" w:type="dxa"/>
          </w:tcPr>
          <w:p>
            <w:pPr>
              <w:pStyle w:val="8"/>
              <w:spacing w:before="62"/>
              <w:ind w:left="72"/>
              <w:rPr>
                <w:sz w:val="18"/>
              </w:rPr>
            </w:pPr>
            <w:r>
              <w:rPr>
                <w:sz w:val="18"/>
              </w:rPr>
              <w:t>4.3431 mL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2973" w:type="dxa"/>
          </w:tcPr>
          <w:p>
            <w:pPr>
              <w:pStyle w:val="8"/>
              <w:spacing w:before="60"/>
              <w:ind w:left="74"/>
              <w:rPr>
                <w:sz w:val="18"/>
              </w:rPr>
            </w:pPr>
            <w:r>
              <w:rPr>
                <w:sz w:val="18"/>
              </w:rPr>
              <w:t>10 mM</w:t>
            </w:r>
          </w:p>
        </w:tc>
        <w:tc>
          <w:tcPr>
            <w:tcW w:w="1493" w:type="dxa"/>
          </w:tcPr>
          <w:p>
            <w:pPr>
              <w:pStyle w:val="8"/>
              <w:spacing w:before="60"/>
              <w:ind w:left="76"/>
              <w:rPr>
                <w:sz w:val="18"/>
              </w:rPr>
            </w:pPr>
            <w:r>
              <w:rPr>
                <w:sz w:val="18"/>
              </w:rPr>
              <w:t>0.2172 mL</w:t>
            </w:r>
          </w:p>
        </w:tc>
        <w:tc>
          <w:tcPr>
            <w:tcW w:w="1648" w:type="dxa"/>
          </w:tcPr>
          <w:p>
            <w:pPr>
              <w:pStyle w:val="8"/>
              <w:spacing w:before="60"/>
              <w:ind w:left="73"/>
              <w:rPr>
                <w:sz w:val="18"/>
              </w:rPr>
            </w:pPr>
            <w:r>
              <w:rPr>
                <w:sz w:val="18"/>
              </w:rPr>
              <w:t>1.0858 mL</w:t>
            </w:r>
          </w:p>
        </w:tc>
        <w:tc>
          <w:tcPr>
            <w:tcW w:w="2178" w:type="dxa"/>
          </w:tcPr>
          <w:p>
            <w:pPr>
              <w:pStyle w:val="8"/>
              <w:spacing w:before="60"/>
              <w:ind w:left="72"/>
              <w:rPr>
                <w:sz w:val="18"/>
              </w:rPr>
            </w:pPr>
            <w:r>
              <w:rPr>
                <w:sz w:val="18"/>
              </w:rPr>
              <w:t>2.1716 mL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973" w:type="dxa"/>
          </w:tcPr>
          <w:p>
            <w:pPr>
              <w:pStyle w:val="8"/>
              <w:spacing w:before="60"/>
              <w:ind w:left="74"/>
              <w:rPr>
                <w:sz w:val="18"/>
              </w:rPr>
            </w:pPr>
            <w:r>
              <w:rPr>
                <w:sz w:val="18"/>
              </w:rPr>
              <w:t>50 mM</w:t>
            </w:r>
          </w:p>
        </w:tc>
        <w:tc>
          <w:tcPr>
            <w:tcW w:w="1493" w:type="dxa"/>
          </w:tcPr>
          <w:p>
            <w:pPr>
              <w:pStyle w:val="8"/>
              <w:spacing w:before="60"/>
              <w:ind w:left="76"/>
              <w:rPr>
                <w:sz w:val="18"/>
              </w:rPr>
            </w:pPr>
            <w:r>
              <w:rPr>
                <w:sz w:val="18"/>
              </w:rPr>
              <w:t>0.0434 mL</w:t>
            </w:r>
          </w:p>
        </w:tc>
        <w:tc>
          <w:tcPr>
            <w:tcW w:w="1648" w:type="dxa"/>
          </w:tcPr>
          <w:p>
            <w:pPr>
              <w:pStyle w:val="8"/>
              <w:spacing w:before="60"/>
              <w:ind w:left="73"/>
              <w:rPr>
                <w:sz w:val="18"/>
              </w:rPr>
            </w:pPr>
            <w:r>
              <w:rPr>
                <w:sz w:val="18"/>
              </w:rPr>
              <w:t>0.2172 mL</w:t>
            </w:r>
          </w:p>
        </w:tc>
        <w:tc>
          <w:tcPr>
            <w:tcW w:w="2178" w:type="dxa"/>
          </w:tcPr>
          <w:p>
            <w:pPr>
              <w:pStyle w:val="8"/>
              <w:spacing w:before="60"/>
              <w:ind w:left="72"/>
              <w:rPr>
                <w:sz w:val="18"/>
              </w:rPr>
            </w:pPr>
            <w:r>
              <w:rPr>
                <w:sz w:val="18"/>
              </w:rPr>
              <w:t>0.4343 mL</w:t>
            </w:r>
          </w:p>
        </w:tc>
      </w:tr>
    </w:tbl>
    <w:p>
      <w:pPr>
        <w:spacing w:before="0"/>
        <w:ind w:left="120" w:right="0" w:firstLine="0"/>
        <w:jc w:val="left"/>
        <w:rPr>
          <w:b/>
          <w:sz w:val="18"/>
        </w:rPr>
      </w:pPr>
      <w:r>
        <w:rPr>
          <w:b/>
          <w:sz w:val="18"/>
        </w:rPr>
        <w:t>经典实验操作（仅供参考）</w:t>
      </w:r>
    </w:p>
    <w:p>
      <w:pPr>
        <w:pStyle w:val="3"/>
        <w:spacing w:before="9"/>
        <w:ind w:left="0"/>
        <w:rPr>
          <w:b/>
          <w:sz w:val="10"/>
        </w:rPr>
      </w:pPr>
    </w:p>
    <w:tbl>
      <w:tblPr>
        <w:tblStyle w:val="4"/>
        <w:tblW w:w="0" w:type="auto"/>
        <w:tblInd w:w="121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3"/>
        <w:gridCol w:w="737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7" w:hRule="atLeast"/>
        </w:trPr>
        <w:tc>
          <w:tcPr>
            <w:tcW w:w="953" w:type="dxa"/>
          </w:tcPr>
          <w:p>
            <w:pPr>
              <w:pStyle w:val="8"/>
              <w:ind w:left="0"/>
              <w:rPr>
                <w:b/>
                <w:sz w:val="24"/>
              </w:rPr>
            </w:pPr>
          </w:p>
          <w:p>
            <w:pPr>
              <w:pStyle w:val="8"/>
              <w:ind w:left="0"/>
              <w:rPr>
                <w:b/>
                <w:sz w:val="24"/>
              </w:rPr>
            </w:pPr>
          </w:p>
          <w:p>
            <w:pPr>
              <w:pStyle w:val="8"/>
              <w:spacing w:before="17"/>
              <w:ind w:left="0"/>
              <w:rPr>
                <w:b/>
                <w:sz w:val="34"/>
              </w:rPr>
            </w:pPr>
          </w:p>
          <w:p>
            <w:pPr>
              <w:pStyle w:val="8"/>
              <w:rPr>
                <w:b/>
                <w:sz w:val="18"/>
              </w:rPr>
            </w:pPr>
            <w:r>
              <w:rPr>
                <w:b/>
                <w:sz w:val="18"/>
              </w:rPr>
              <w:t>激酶实验</w:t>
            </w:r>
          </w:p>
        </w:tc>
        <w:tc>
          <w:tcPr>
            <w:tcW w:w="7370" w:type="dxa"/>
          </w:tcPr>
          <w:p>
            <w:pPr>
              <w:pStyle w:val="8"/>
              <w:spacing w:line="307" w:lineRule="exact"/>
              <w:rPr>
                <w:sz w:val="18"/>
              </w:rPr>
            </w:pPr>
            <w:r>
              <w:rPr>
                <w:sz w:val="18"/>
              </w:rPr>
              <w:t>PDE4 抑制活性:</w:t>
            </w:r>
          </w:p>
          <w:p>
            <w:pPr>
              <w:pStyle w:val="8"/>
              <w:spacing w:before="4" w:line="223" w:lineRule="auto"/>
              <w:ind w:right="56"/>
              <w:rPr>
                <w:sz w:val="18"/>
              </w:rPr>
            </w:pPr>
            <w:r>
              <w:rPr>
                <w:sz w:val="18"/>
              </w:rPr>
              <w:t>细胞(1×109</w:t>
            </w:r>
            <w:r>
              <w:rPr>
                <w:spacing w:val="-4"/>
                <w:sz w:val="18"/>
              </w:rPr>
              <w:t xml:space="preserve">)在 </w:t>
            </w:r>
            <w:r>
              <w:rPr>
                <w:sz w:val="18"/>
              </w:rPr>
              <w:t>PBS</w:t>
            </w:r>
            <w:r>
              <w:rPr>
                <w:spacing w:val="-3"/>
                <w:sz w:val="18"/>
              </w:rPr>
              <w:t xml:space="preserve"> 中洗涤，在冷的匀浆缓冲液</w:t>
            </w:r>
            <w:r>
              <w:rPr>
                <w:sz w:val="18"/>
              </w:rPr>
              <w:t>(20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mM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Tris-HCl</w:t>
            </w:r>
            <w:r>
              <w:rPr>
                <w:spacing w:val="-2"/>
                <w:sz w:val="18"/>
              </w:rPr>
              <w:t xml:space="preserve">, </w:t>
            </w:r>
            <w:r>
              <w:rPr>
                <w:sz w:val="18"/>
              </w:rPr>
              <w:t>pH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7.1</w:t>
            </w:r>
            <w:r>
              <w:rPr>
                <w:spacing w:val="-2"/>
                <w:sz w:val="18"/>
              </w:rPr>
              <w:t xml:space="preserve">, </w:t>
            </w:r>
            <w:r>
              <w:rPr>
                <w:sz w:val="18"/>
              </w:rPr>
              <w:t>3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mM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2-巯基乙</w:t>
            </w:r>
            <w:r>
              <w:rPr>
                <w:spacing w:val="-1"/>
                <w:sz w:val="18"/>
              </w:rPr>
              <w:t xml:space="preserve">醇, </w:t>
            </w:r>
            <w:r>
              <w:rPr>
                <w:sz w:val="18"/>
              </w:rPr>
              <w:t>1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mM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MgCl2,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0.1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mM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EGTA,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1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rFonts w:ascii="Arial" w:hAnsi="Arial" w:eastAsia="Arial"/>
                <w:spacing w:val="4"/>
                <w:sz w:val="18"/>
              </w:rPr>
              <w:t>μ</w:t>
            </w:r>
            <w:r>
              <w:rPr>
                <w:spacing w:val="4"/>
                <w:sz w:val="18"/>
              </w:rPr>
              <w:t>M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PMSF</w:t>
            </w:r>
            <w:r>
              <w:rPr>
                <w:spacing w:val="-1"/>
                <w:sz w:val="18"/>
              </w:rPr>
              <w:t xml:space="preserve">, </w:t>
            </w:r>
            <w:r>
              <w:rPr>
                <w:sz w:val="18"/>
              </w:rPr>
              <w:t>1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rFonts w:ascii="Arial" w:hAnsi="Arial" w:eastAsia="Arial"/>
                <w:sz w:val="18"/>
              </w:rPr>
              <w:t>μ</w:t>
            </w:r>
            <w:r>
              <w:rPr>
                <w:sz w:val="18"/>
              </w:rPr>
              <w:t>g/mL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Leupeptin)</w:t>
            </w:r>
            <w:r>
              <w:rPr>
                <w:spacing w:val="-2"/>
                <w:sz w:val="18"/>
              </w:rPr>
              <w:t xml:space="preserve">中裂解。在 </w:t>
            </w:r>
            <w:r>
              <w:rPr>
                <w:sz w:val="18"/>
              </w:rPr>
              <w:t xml:space="preserve">Dounce </w:t>
            </w:r>
            <w:r>
              <w:rPr>
                <w:spacing w:val="-1"/>
                <w:sz w:val="18"/>
              </w:rPr>
              <w:t xml:space="preserve">匀浆器中进行匀浆，离心收集上清液，上样到 </w:t>
            </w:r>
            <w:r>
              <w:rPr>
                <w:sz w:val="18"/>
              </w:rPr>
              <w:t>Sephacryl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S-200</w:t>
            </w:r>
            <w:r>
              <w:rPr>
                <w:spacing w:val="-3"/>
                <w:sz w:val="18"/>
              </w:rPr>
              <w:t xml:space="preserve"> 柱，在匀浆缓冲液中平衡。</w:t>
            </w:r>
            <w:r>
              <w:rPr>
                <w:spacing w:val="-4"/>
                <w:sz w:val="18"/>
              </w:rPr>
              <w:t xml:space="preserve">在匀浆缓冲液中洗脱 </w:t>
            </w:r>
            <w:r>
              <w:rPr>
                <w:sz w:val="18"/>
              </w:rPr>
              <w:t>PDE</w:t>
            </w:r>
            <w:r>
              <w:rPr>
                <w:spacing w:val="-3"/>
                <w:sz w:val="18"/>
              </w:rPr>
              <w:t xml:space="preserve">，收集 </w:t>
            </w:r>
            <w:r>
              <w:rPr>
                <w:sz w:val="18"/>
              </w:rPr>
              <w:t>Rolipram</w:t>
            </w:r>
            <w:r>
              <w:rPr>
                <w:spacing w:val="-3"/>
                <w:sz w:val="18"/>
              </w:rPr>
              <w:t xml:space="preserve"> 敏感组分，并等分存储。在 </w:t>
            </w:r>
            <w:r>
              <w:rPr>
                <w:sz w:val="18"/>
              </w:rPr>
              <w:t>50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mM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Tris</w:t>
            </w:r>
            <w:r>
              <w:rPr>
                <w:spacing w:val="-2"/>
                <w:sz w:val="18"/>
              </w:rPr>
              <w:t xml:space="preserve">- </w:t>
            </w:r>
            <w:r>
              <w:rPr>
                <w:sz w:val="18"/>
              </w:rPr>
              <w:t>HCl, pH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7.5</w:t>
            </w:r>
            <w:r>
              <w:rPr>
                <w:spacing w:val="-2"/>
                <w:sz w:val="18"/>
              </w:rPr>
              <w:t xml:space="preserve">, </w:t>
            </w:r>
            <w:r>
              <w:rPr>
                <w:sz w:val="18"/>
              </w:rPr>
              <w:t>5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mM MgCl2</w:t>
            </w:r>
            <w:r>
              <w:rPr>
                <w:spacing w:val="-1"/>
                <w:sz w:val="18"/>
              </w:rPr>
              <w:t xml:space="preserve"> 和 </w:t>
            </w:r>
            <w:r>
              <w:rPr>
                <w:sz w:val="18"/>
              </w:rPr>
              <w:t>1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rFonts w:ascii="Arial" w:hAnsi="Arial" w:eastAsia="Arial"/>
                <w:spacing w:val="5"/>
                <w:sz w:val="18"/>
              </w:rPr>
              <w:t>μ</w:t>
            </w:r>
            <w:r>
              <w:rPr>
                <w:spacing w:val="5"/>
                <w:sz w:val="18"/>
              </w:rPr>
              <w:t>M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cAMP</w:t>
            </w:r>
            <w:r>
              <w:rPr>
                <w:spacing w:val="-3"/>
                <w:sz w:val="18"/>
              </w:rPr>
              <w:t xml:space="preserve"> (含 </w:t>
            </w:r>
            <w:r>
              <w:rPr>
                <w:sz w:val="18"/>
              </w:rPr>
              <w:t>1</w:t>
            </w:r>
            <w:r>
              <w:rPr>
                <w:spacing w:val="-1"/>
                <w:sz w:val="18"/>
              </w:rPr>
              <w:t xml:space="preserve">% </w:t>
            </w:r>
            <w:r>
              <w:rPr>
                <w:sz w:val="18"/>
              </w:rPr>
              <w:t>3H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cAMP)中，在有各种浓度抑制剂存在时， 检测酶活性。预先测定使用的提取物的量，确保反应在线性范围内及消耗的总底物低于</w:t>
            </w:r>
          </w:p>
          <w:p>
            <w:pPr>
              <w:pStyle w:val="8"/>
              <w:spacing w:before="2" w:line="223" w:lineRule="auto"/>
              <w:ind w:right="10"/>
              <w:jc w:val="both"/>
              <w:rPr>
                <w:sz w:val="18"/>
              </w:rPr>
            </w:pPr>
            <w:r>
              <w:rPr>
                <w:sz w:val="18"/>
              </w:rPr>
              <w:t>15%</w:t>
            </w:r>
            <w:r>
              <w:rPr>
                <w:spacing w:val="-2"/>
                <w:sz w:val="18"/>
              </w:rPr>
              <w:t xml:space="preserve">。反应在 </w:t>
            </w:r>
            <w:r>
              <w:rPr>
                <w:sz w:val="18"/>
              </w:rPr>
              <w:t>30°C</w:t>
            </w:r>
            <w:r>
              <w:rPr>
                <w:spacing w:val="-4"/>
                <w:sz w:val="18"/>
              </w:rPr>
              <w:t xml:space="preserve"> 下进行 </w:t>
            </w:r>
            <w:r>
              <w:rPr>
                <w:sz w:val="18"/>
              </w:rPr>
              <w:t>30</w:t>
            </w:r>
            <w:r>
              <w:rPr>
                <w:spacing w:val="-4"/>
                <w:sz w:val="18"/>
              </w:rPr>
              <w:t xml:space="preserve"> 分钟，沸腾 </w:t>
            </w:r>
            <w:r>
              <w:rPr>
                <w:sz w:val="18"/>
              </w:rPr>
              <w:t>2</w:t>
            </w:r>
            <w:r>
              <w:rPr>
                <w:spacing w:val="-3"/>
                <w:sz w:val="18"/>
              </w:rPr>
              <w:t xml:space="preserve"> 分钟终止反应。然后将样品冷冻，使用蛇的毒液(1mg/mL</w:t>
            </w:r>
            <w:r>
              <w:rPr>
                <w:spacing w:val="-5"/>
                <w:sz w:val="18"/>
              </w:rPr>
              <w:t xml:space="preserve">)在 </w:t>
            </w:r>
            <w:r>
              <w:rPr>
                <w:sz w:val="18"/>
              </w:rPr>
              <w:t>30°C</w:t>
            </w:r>
            <w:r>
              <w:rPr>
                <w:spacing w:val="-5"/>
                <w:sz w:val="18"/>
              </w:rPr>
              <w:t xml:space="preserve"> 下处理 </w:t>
            </w:r>
            <w:r>
              <w:rPr>
                <w:sz w:val="18"/>
              </w:rPr>
              <w:t>15</w:t>
            </w:r>
            <w:r>
              <w:rPr>
                <w:spacing w:val="-4"/>
                <w:sz w:val="18"/>
              </w:rPr>
              <w:t xml:space="preserve"> 分钟。移除未使用的底物，使用 </w:t>
            </w:r>
            <w:r>
              <w:rPr>
                <w:sz w:val="18"/>
              </w:rPr>
              <w:t>200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rFonts w:ascii="Arial" w:hAnsi="Arial" w:eastAsia="Arial"/>
                <w:spacing w:val="4"/>
                <w:sz w:val="18"/>
              </w:rPr>
              <w:t>μ</w:t>
            </w:r>
            <w:r>
              <w:rPr>
                <w:spacing w:val="4"/>
                <w:sz w:val="18"/>
              </w:rPr>
              <w:t>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AG1-X8</w:t>
            </w:r>
            <w:r>
              <w:rPr>
                <w:spacing w:val="-4"/>
                <w:sz w:val="18"/>
              </w:rPr>
              <w:t xml:space="preserve"> 树脂温育 </w:t>
            </w:r>
            <w:r>
              <w:rPr>
                <w:sz w:val="18"/>
              </w:rPr>
              <w:t xml:space="preserve">15 </w:t>
            </w:r>
            <w:r>
              <w:rPr>
                <w:spacing w:val="-2"/>
                <w:sz w:val="18"/>
              </w:rPr>
              <w:t xml:space="preserve">分钟。样品在 </w:t>
            </w:r>
            <w:r>
              <w:rPr>
                <w:sz w:val="18"/>
              </w:rPr>
              <w:t>3000rpm</w:t>
            </w:r>
            <w:r>
              <w:rPr>
                <w:spacing w:val="-4"/>
                <w:sz w:val="18"/>
              </w:rPr>
              <w:t xml:space="preserve"> 转速下离心 </w:t>
            </w:r>
            <w:r>
              <w:rPr>
                <w:sz w:val="18"/>
              </w:rPr>
              <w:t>5</w:t>
            </w:r>
            <w:r>
              <w:rPr>
                <w:spacing w:val="-4"/>
                <w:sz w:val="18"/>
              </w:rPr>
              <w:t xml:space="preserve"> 分钟，采取 </w:t>
            </w:r>
            <w:r>
              <w:rPr>
                <w:spacing w:val="2"/>
                <w:sz w:val="18"/>
              </w:rPr>
              <w:t>50</w:t>
            </w:r>
            <w:r>
              <w:rPr>
                <w:rFonts w:ascii="Arial" w:hAnsi="Arial" w:eastAsia="Arial"/>
                <w:spacing w:val="2"/>
                <w:sz w:val="18"/>
              </w:rPr>
              <w:t>μ</w:t>
            </w:r>
            <w:r>
              <w:rPr>
                <w:spacing w:val="2"/>
                <w:sz w:val="18"/>
              </w:rPr>
              <w:t>L</w:t>
            </w:r>
            <w:r>
              <w:rPr>
                <w:spacing w:val="-1"/>
                <w:sz w:val="18"/>
              </w:rPr>
              <w:t xml:space="preserve"> 水相进行计数。进行三次独立实验， </w:t>
            </w:r>
            <w:r>
              <w:rPr>
                <w:spacing w:val="-2"/>
                <w:sz w:val="18"/>
              </w:rPr>
              <w:t xml:space="preserve">通过剂量反应曲线测定 </w:t>
            </w:r>
            <w:r>
              <w:rPr>
                <w:sz w:val="18"/>
              </w:rPr>
              <w:t>IC50</w:t>
            </w:r>
            <w:r>
              <w:rPr>
                <w:spacing w:val="-3"/>
                <w:sz w:val="18"/>
              </w:rPr>
              <w:t xml:space="preserve"> 值。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53" w:type="dxa"/>
          </w:tcPr>
          <w:p>
            <w:pPr>
              <w:pStyle w:val="8"/>
              <w:spacing w:line="315" w:lineRule="exact"/>
              <w:rPr>
                <w:b/>
                <w:sz w:val="18"/>
              </w:rPr>
            </w:pPr>
            <w:r>
              <w:rPr>
                <w:b/>
                <w:sz w:val="18"/>
              </w:rPr>
              <w:t>细胞实验</w:t>
            </w:r>
          </w:p>
        </w:tc>
        <w:tc>
          <w:tcPr>
            <w:tcW w:w="7370" w:type="dxa"/>
          </w:tcPr>
          <w:p>
            <w:pPr>
              <w:pStyle w:val="8"/>
              <w:spacing w:before="86"/>
              <w:rPr>
                <w:sz w:val="18"/>
              </w:rPr>
            </w:pPr>
            <w:r>
              <w:rPr>
                <w:sz w:val="18"/>
              </w:rPr>
              <w:t>Cell lines: HEK 细胞</w:t>
            </w:r>
          </w:p>
        </w:tc>
      </w:tr>
    </w:tbl>
    <w:p>
      <w:pPr>
        <w:spacing w:after="0"/>
        <w:rPr>
          <w:sz w:val="18"/>
        </w:rPr>
        <w:sectPr>
          <w:pgSz w:w="11910" w:h="16840"/>
          <w:pgMar w:top="1500" w:right="860" w:bottom="1280" w:left="1680" w:header="708" w:footer="1098" w:gutter="0"/>
        </w:sectPr>
      </w:pPr>
    </w:p>
    <w:tbl>
      <w:tblPr>
        <w:tblStyle w:val="4"/>
        <w:tblW w:w="0" w:type="auto"/>
        <w:tblInd w:w="121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3"/>
        <w:gridCol w:w="737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2" w:hRule="atLeast"/>
        </w:trPr>
        <w:tc>
          <w:tcPr>
            <w:tcW w:w="953" w:type="dxa"/>
          </w:tcPr>
          <w:p>
            <w:pPr>
              <w:pStyle w:val="8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7370" w:type="dxa"/>
          </w:tcPr>
          <w:p>
            <w:pPr>
              <w:pStyle w:val="8"/>
              <w:spacing w:before="2" w:line="223" w:lineRule="auto"/>
              <w:ind w:right="5231"/>
              <w:rPr>
                <w:sz w:val="18"/>
              </w:rPr>
            </w:pPr>
            <w:r>
              <w:rPr>
                <w:sz w:val="18"/>
              </w:rPr>
              <w:t xml:space="preserve">Concentrations: ~10 </w:t>
            </w:r>
            <w:r>
              <w:rPr>
                <w:rFonts w:ascii="Arial" w:hAnsi="Arial" w:eastAsia="Arial"/>
                <w:sz w:val="18"/>
              </w:rPr>
              <w:t>μ</w:t>
            </w:r>
            <w:r>
              <w:rPr>
                <w:sz w:val="18"/>
              </w:rPr>
              <w:t>M Incubation Time: 18 小时</w:t>
            </w:r>
          </w:p>
          <w:p>
            <w:pPr>
              <w:pStyle w:val="8"/>
              <w:spacing w:before="2" w:line="223" w:lineRule="auto"/>
              <w:ind w:right="12"/>
              <w:rPr>
                <w:sz w:val="18"/>
              </w:rPr>
            </w:pPr>
            <w:r>
              <w:rPr>
                <w:sz w:val="18"/>
              </w:rPr>
              <w:t>Method:</w:t>
            </w:r>
            <w:r>
              <w:rPr>
                <w:spacing w:val="-2"/>
                <w:sz w:val="18"/>
              </w:rPr>
              <w:t xml:space="preserve"> 人类新生儿包皮 表皮的角质形成细胞</w:t>
            </w:r>
            <w:r>
              <w:rPr>
                <w:sz w:val="18"/>
              </w:rPr>
              <w:t>（HEKn</w:t>
            </w:r>
            <w:r>
              <w:rPr>
                <w:spacing w:val="-3"/>
                <w:sz w:val="18"/>
              </w:rPr>
              <w:t xml:space="preserve"> 细胞</w:t>
            </w:r>
            <w:r>
              <w:rPr>
                <w:sz w:val="18"/>
              </w:rPr>
              <w:t>）</w:t>
            </w:r>
            <w:r>
              <w:rPr>
                <w:spacing w:val="-2"/>
                <w:sz w:val="18"/>
              </w:rPr>
              <w:t xml:space="preserve">按每孔 </w:t>
            </w:r>
            <w:r>
              <w:rPr>
                <w:sz w:val="18"/>
              </w:rPr>
              <w:t>3000</w:t>
            </w:r>
            <w:r>
              <w:rPr>
                <w:spacing w:val="-4"/>
                <w:sz w:val="18"/>
              </w:rPr>
              <w:t xml:space="preserve"> 个细胞接种于 </w:t>
            </w:r>
            <w:r>
              <w:rPr>
                <w:sz w:val="18"/>
              </w:rPr>
              <w:t xml:space="preserve">96 </w:t>
            </w:r>
            <w:r>
              <w:rPr>
                <w:spacing w:val="-1"/>
                <w:sz w:val="18"/>
              </w:rPr>
              <w:t xml:space="preserve">孔平底组织培养板中，培养 </w:t>
            </w:r>
            <w:r>
              <w:rPr>
                <w:sz w:val="18"/>
              </w:rPr>
              <w:t>2</w:t>
            </w:r>
            <w:r>
              <w:rPr>
                <w:spacing w:val="-3"/>
                <w:sz w:val="18"/>
              </w:rPr>
              <w:t xml:space="preserve"> 天。使用 </w:t>
            </w:r>
            <w:r>
              <w:rPr>
                <w:sz w:val="18"/>
              </w:rPr>
              <w:t>Apremilast</w:t>
            </w:r>
            <w:r>
              <w:rPr>
                <w:spacing w:val="-2"/>
                <w:sz w:val="18"/>
              </w:rPr>
              <w:t xml:space="preserve"> 或 </w:t>
            </w:r>
            <w:r>
              <w:rPr>
                <w:sz w:val="18"/>
              </w:rPr>
              <w:t>0.1</w:t>
            </w:r>
            <w:r>
              <w:rPr>
                <w:spacing w:val="-1"/>
                <w:sz w:val="18"/>
              </w:rPr>
              <w:t xml:space="preserve">% </w:t>
            </w:r>
            <w:r>
              <w:rPr>
                <w:sz w:val="18"/>
              </w:rPr>
              <w:t>DMSO（空白对照）</w:t>
            </w:r>
            <w:r>
              <w:rPr>
                <w:spacing w:val="-4"/>
                <w:sz w:val="18"/>
              </w:rPr>
              <w:t xml:space="preserve">处理 </w:t>
            </w:r>
            <w:r>
              <w:rPr>
                <w:sz w:val="18"/>
              </w:rPr>
              <w:t xml:space="preserve">HEKn </w:t>
            </w:r>
            <w:r>
              <w:rPr>
                <w:spacing w:val="-4"/>
                <w:sz w:val="18"/>
              </w:rPr>
              <w:t xml:space="preserve">细胞 </w:t>
            </w:r>
            <w:r>
              <w:rPr>
                <w:sz w:val="18"/>
              </w:rPr>
              <w:t>1</w:t>
            </w:r>
            <w:r>
              <w:rPr>
                <w:spacing w:val="-4"/>
                <w:sz w:val="18"/>
              </w:rPr>
              <w:t xml:space="preserve"> 小时，使用 </w:t>
            </w:r>
            <w:r>
              <w:rPr>
                <w:sz w:val="18"/>
              </w:rPr>
              <w:t>UV Stratalinker 2400</w:t>
            </w:r>
            <w:r>
              <w:rPr>
                <w:spacing w:val="-7"/>
                <w:sz w:val="18"/>
              </w:rPr>
              <w:t xml:space="preserve"> 在 </w:t>
            </w:r>
            <w:r>
              <w:rPr>
                <w:sz w:val="18"/>
              </w:rPr>
              <w:t>50 mJ/cm2</w:t>
            </w:r>
            <w:r>
              <w:rPr>
                <w:spacing w:val="-3"/>
                <w:sz w:val="18"/>
              </w:rPr>
              <w:t xml:space="preserve"> 时进行紫外线 </w:t>
            </w:r>
            <w:r>
              <w:rPr>
                <w:sz w:val="18"/>
              </w:rPr>
              <w:t>B（UVB）照射，使</w:t>
            </w:r>
            <w:r>
              <w:rPr>
                <w:spacing w:val="-5"/>
                <w:sz w:val="18"/>
              </w:rPr>
              <w:t xml:space="preserve">用 </w:t>
            </w:r>
            <w:r>
              <w:rPr>
                <w:sz w:val="18"/>
              </w:rPr>
              <w:t>312 nm UVB</w:t>
            </w:r>
            <w:r>
              <w:rPr>
                <w:spacing w:val="-1"/>
                <w:sz w:val="18"/>
              </w:rPr>
              <w:t xml:space="preserve"> 灯泡校准。更换培养基和化合物，细胞温育 </w:t>
            </w:r>
            <w:r>
              <w:rPr>
                <w:sz w:val="18"/>
              </w:rPr>
              <w:t>18</w:t>
            </w:r>
            <w:r>
              <w:rPr>
                <w:spacing w:val="-3"/>
                <w:sz w:val="18"/>
              </w:rPr>
              <w:t xml:space="preserve"> 小时。 裂解液转移到实验板</w:t>
            </w:r>
          </w:p>
          <w:p>
            <w:pPr>
              <w:pStyle w:val="8"/>
              <w:spacing w:line="286" w:lineRule="exact"/>
              <w:rPr>
                <w:sz w:val="18"/>
              </w:rPr>
            </w:pPr>
            <w:r>
              <w:rPr>
                <w:sz w:val="18"/>
              </w:rPr>
              <w:t>上，震荡 2 分钟，使用 TopCount NXT 发光计数器读取化学发光值。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953" w:type="dxa"/>
          </w:tcPr>
          <w:p>
            <w:pPr>
              <w:pStyle w:val="8"/>
              <w:spacing w:before="13"/>
              <w:ind w:left="0"/>
              <w:rPr>
                <w:b/>
                <w:sz w:val="18"/>
              </w:rPr>
            </w:pPr>
          </w:p>
          <w:p>
            <w:pPr>
              <w:pStyle w:val="8"/>
              <w:rPr>
                <w:b/>
                <w:sz w:val="18"/>
              </w:rPr>
            </w:pPr>
            <w:r>
              <w:rPr>
                <w:b/>
                <w:sz w:val="18"/>
              </w:rPr>
              <w:t>动物实验</w:t>
            </w:r>
          </w:p>
        </w:tc>
        <w:tc>
          <w:tcPr>
            <w:tcW w:w="7370" w:type="dxa"/>
          </w:tcPr>
          <w:p>
            <w:pPr>
              <w:pStyle w:val="8"/>
              <w:spacing w:before="2" w:line="223" w:lineRule="auto"/>
              <w:ind w:right="3608"/>
              <w:rPr>
                <w:sz w:val="18"/>
              </w:rPr>
            </w:pPr>
            <w:r>
              <w:rPr>
                <w:sz w:val="18"/>
              </w:rPr>
              <w:t>Animal Models: 银 屑 病 小 鼠 模 型 Formulation: 0.5% CMC 和 0.25% Tween-80</w:t>
            </w:r>
          </w:p>
          <w:p>
            <w:pPr>
              <w:pStyle w:val="8"/>
              <w:spacing w:line="304" w:lineRule="exact"/>
              <w:rPr>
                <w:sz w:val="18"/>
              </w:rPr>
            </w:pPr>
            <w:r>
              <w:rPr>
                <w:sz w:val="18"/>
              </w:rPr>
              <w:t>Dosages: 5 mg/kg/day,分成每天两次的剂量</w:t>
            </w:r>
          </w:p>
          <w:p>
            <w:pPr>
              <w:pStyle w:val="8"/>
              <w:spacing w:line="293" w:lineRule="exact"/>
              <w:rPr>
                <w:sz w:val="18"/>
              </w:rPr>
            </w:pPr>
            <w:r>
              <w:rPr>
                <w:sz w:val="18"/>
              </w:rPr>
              <w:t>Administration: 口服处理</w:t>
            </w:r>
          </w:p>
        </w:tc>
      </w:tr>
    </w:tbl>
    <w:p>
      <w:pPr>
        <w:pStyle w:val="3"/>
        <w:spacing w:before="7"/>
        <w:ind w:left="0"/>
        <w:rPr>
          <w:b/>
          <w:sz w:val="24"/>
        </w:rPr>
      </w:pPr>
    </w:p>
    <w:p>
      <w:pPr>
        <w:spacing w:before="53"/>
        <w:ind w:left="120" w:right="0" w:firstLine="0"/>
        <w:jc w:val="left"/>
        <w:rPr>
          <w:b/>
          <w:sz w:val="18"/>
        </w:rPr>
      </w:pPr>
      <w:r>
        <w:rPr>
          <w:sz w:val="18"/>
        </w:rPr>
        <w:t>【注意</w:t>
      </w:r>
      <w:r>
        <w:rPr>
          <w:b/>
          <w:sz w:val="18"/>
        </w:rPr>
        <w:t>】</w:t>
      </w:r>
    </w:p>
    <w:p>
      <w:pPr>
        <w:pStyle w:val="7"/>
        <w:numPr>
          <w:ilvl w:val="0"/>
          <w:numId w:val="1"/>
        </w:numPr>
        <w:tabs>
          <w:tab w:val="left" w:pos="239"/>
        </w:tabs>
        <w:spacing w:before="177" w:after="0" w:line="240" w:lineRule="auto"/>
        <w:ind w:left="238" w:right="0" w:hanging="119"/>
        <w:jc w:val="left"/>
        <w:rPr>
          <w:sz w:val="18"/>
        </w:rPr>
      </w:pPr>
      <w:r>
        <w:rPr>
          <w:sz w:val="18"/>
        </w:rPr>
        <w:t>我司产品为非无菌包装，若用于细胞培养，请提前做预处理，除去热原细菌，否则会导致染菌。</w:t>
      </w:r>
    </w:p>
    <w:p>
      <w:pPr>
        <w:pStyle w:val="7"/>
        <w:numPr>
          <w:ilvl w:val="0"/>
          <w:numId w:val="1"/>
        </w:numPr>
        <w:tabs>
          <w:tab w:val="left" w:pos="239"/>
        </w:tabs>
        <w:spacing w:before="177" w:after="0" w:line="240" w:lineRule="auto"/>
        <w:ind w:left="238" w:right="0" w:hanging="119"/>
        <w:jc w:val="left"/>
        <w:rPr>
          <w:sz w:val="18"/>
        </w:rPr>
      </w:pPr>
      <w:r>
        <w:rPr>
          <w:sz w:val="18"/>
        </w:rPr>
        <w:t>部分产品我司仅能提供部分信息，我司不保证所提供信息的权威性，以上数据仅供参考交流研究之用。</w:t>
      </w:r>
    </w:p>
    <w:p>
      <w:pPr>
        <w:pStyle w:val="2"/>
        <w:ind w:left="0" w:leftChars="0" w:firstLine="0" w:firstLineChars="0"/>
      </w:pPr>
      <w:bookmarkStart w:id="0" w:name="_GoBack"/>
      <w:bookmarkEnd w:id="0"/>
      <w:r>
        <w:t>活性化合物操作注意事项</w:t>
      </w:r>
    </w:p>
    <w:p>
      <w:pPr>
        <w:pStyle w:val="7"/>
        <w:numPr>
          <w:ilvl w:val="0"/>
          <w:numId w:val="2"/>
        </w:numPr>
        <w:tabs>
          <w:tab w:val="left" w:pos="272"/>
        </w:tabs>
        <w:spacing w:before="193" w:after="0" w:line="223" w:lineRule="auto"/>
        <w:ind w:left="120" w:right="762" w:firstLine="0"/>
        <w:jc w:val="left"/>
        <w:rPr>
          <w:sz w:val="18"/>
        </w:rPr>
      </w:pPr>
      <w:r>
        <w:rPr>
          <w:b/>
          <w:sz w:val="18"/>
        </w:rPr>
        <w:t>产品分装：</w:t>
      </w:r>
      <w:r>
        <w:rPr>
          <w:sz w:val="18"/>
        </w:rPr>
        <w:t xml:space="preserve">您收到货物后最好不要自己进行分包，因为分包环境、包装材料等因素可能导致分包后的产  </w:t>
      </w:r>
      <w:r>
        <w:rPr>
          <w:spacing w:val="-1"/>
          <w:sz w:val="18"/>
        </w:rPr>
        <w:t xml:space="preserve">品变质；如您有特殊包装要求，请在订购时候与我们客服代表阐明，当然价格会做适当调整。对于开盖后， 长期未使用的，请务必重新密封好，建议 </w:t>
      </w:r>
      <w:r>
        <w:rPr>
          <w:sz w:val="18"/>
        </w:rPr>
        <w:t>Parafilm</w:t>
      </w:r>
      <w:r>
        <w:rPr>
          <w:spacing w:val="-3"/>
          <w:sz w:val="18"/>
        </w:rPr>
        <w:t xml:space="preserve"> 封口膜，并按照相应储存条件使用。如果放置时间过</w:t>
      </w:r>
    </w:p>
    <w:p>
      <w:pPr>
        <w:pStyle w:val="3"/>
        <w:spacing w:line="319" w:lineRule="exact"/>
      </w:pPr>
      <w:r>
        <w:t>长，超过产品有效期，建议您重新购买，以免影响实验质量。</w:t>
      </w:r>
    </w:p>
    <w:p>
      <w:pPr>
        <w:pStyle w:val="7"/>
        <w:numPr>
          <w:ilvl w:val="0"/>
          <w:numId w:val="2"/>
        </w:numPr>
        <w:tabs>
          <w:tab w:val="left" w:pos="277"/>
        </w:tabs>
        <w:spacing w:before="192" w:after="0" w:line="223" w:lineRule="auto"/>
        <w:ind w:left="120" w:right="950" w:firstLine="0"/>
        <w:jc w:val="left"/>
        <w:rPr>
          <w:sz w:val="18"/>
        </w:rPr>
      </w:pPr>
      <w:r>
        <w:rPr>
          <w:b/>
          <w:sz w:val="18"/>
        </w:rPr>
        <w:t>储备液制备</w:t>
      </w:r>
      <w:r>
        <w:rPr>
          <w:sz w:val="18"/>
        </w:rPr>
        <w:t>：大部分试剂的溶液形式稳定性较差，请优先采用现用现配的方式。 如需制备储存液，请</w:t>
      </w:r>
      <w:r>
        <w:rPr>
          <w:spacing w:val="-1"/>
          <w:sz w:val="18"/>
        </w:rPr>
        <w:t xml:space="preserve">选用合适溶剂，细胞培养类多选择 </w:t>
      </w:r>
      <w:r>
        <w:rPr>
          <w:sz w:val="18"/>
        </w:rPr>
        <w:t>DMSO</w:t>
      </w:r>
      <w:r>
        <w:rPr>
          <w:spacing w:val="-1"/>
          <w:sz w:val="18"/>
        </w:rPr>
        <w:t xml:space="preserve">，储备液制备完成后请于零下 </w:t>
      </w:r>
      <w:r>
        <w:rPr>
          <w:sz w:val="18"/>
        </w:rPr>
        <w:t>80</w:t>
      </w:r>
      <w:r>
        <w:rPr>
          <w:spacing w:val="-4"/>
          <w:sz w:val="18"/>
        </w:rPr>
        <w:t xml:space="preserve"> 摄氏度储存，一般可以稳定存</w:t>
      </w:r>
      <w:r>
        <w:rPr>
          <w:spacing w:val="-5"/>
          <w:sz w:val="18"/>
        </w:rPr>
        <w:t xml:space="preserve">在 </w:t>
      </w:r>
      <w:r>
        <w:rPr>
          <w:sz w:val="18"/>
        </w:rPr>
        <w:t>3-6</w:t>
      </w:r>
      <w:r>
        <w:rPr>
          <w:spacing w:val="-3"/>
          <w:sz w:val="18"/>
        </w:rPr>
        <w:t xml:space="preserve"> 个月以上。在使用前，再对储备液进行稀释。避免储备液反复冻融。</w:t>
      </w:r>
    </w:p>
    <w:p>
      <w:pPr>
        <w:pStyle w:val="7"/>
        <w:numPr>
          <w:ilvl w:val="0"/>
          <w:numId w:val="2"/>
        </w:numPr>
        <w:tabs>
          <w:tab w:val="left" w:pos="277"/>
        </w:tabs>
        <w:spacing w:before="200" w:after="0" w:line="223" w:lineRule="auto"/>
        <w:ind w:left="120" w:right="952" w:firstLine="0"/>
        <w:jc w:val="left"/>
        <w:rPr>
          <w:sz w:val="18"/>
        </w:rPr>
      </w:pPr>
      <w:r>
        <w:rPr>
          <w:b/>
          <w:sz w:val="18"/>
        </w:rPr>
        <w:t>细胞培养工作液制备</w:t>
      </w:r>
      <w:r>
        <w:rPr>
          <w:sz w:val="18"/>
        </w:rPr>
        <w:t>：请根据个人需要正确计算浓度，稀释储备液或者直接用粉末配置工作液。由于大部分化合物是脂溶性的，所以使用水性溶剂（</w:t>
      </w:r>
      <w:r>
        <w:rPr>
          <w:spacing w:val="-5"/>
          <w:sz w:val="18"/>
        </w:rPr>
        <w:t xml:space="preserve">如 </w:t>
      </w:r>
      <w:r>
        <w:rPr>
          <w:sz w:val="18"/>
        </w:rPr>
        <w:t>PBS）</w:t>
      </w:r>
      <w:r>
        <w:rPr>
          <w:spacing w:val="-1"/>
          <w:sz w:val="18"/>
        </w:rPr>
        <w:t xml:space="preserve">稀释时，可能会析出沉淀，可通过超声使固体重新溶解，不会对实验产生影响。如用 </w:t>
      </w:r>
      <w:r>
        <w:rPr>
          <w:sz w:val="18"/>
        </w:rPr>
        <w:t>DMSO</w:t>
      </w:r>
      <w:r>
        <w:rPr>
          <w:spacing w:val="-4"/>
          <w:sz w:val="18"/>
        </w:rPr>
        <w:t xml:space="preserve"> 作为溶剂，请确保 </w:t>
      </w:r>
      <w:r>
        <w:rPr>
          <w:sz w:val="18"/>
        </w:rPr>
        <w:t>DMSO</w:t>
      </w:r>
      <w:r>
        <w:rPr>
          <w:spacing w:val="-3"/>
          <w:sz w:val="18"/>
        </w:rPr>
        <w:t xml:space="preserve"> 最终使用浓度&lt;</w:t>
      </w:r>
      <w:r>
        <w:rPr>
          <w:sz w:val="18"/>
        </w:rPr>
        <w:t>0.3%,以避免细胞毒性。</w:t>
      </w:r>
    </w:p>
    <w:p>
      <w:pPr>
        <w:pStyle w:val="3"/>
        <w:spacing w:before="203" w:line="223" w:lineRule="auto"/>
        <w:ind w:right="1019" w:firstLine="52"/>
      </w:pPr>
      <w:r>
        <w:t>灭菌方式，我们建议通过 0.22UM 微膜过滤方式除菌，请勿采用紫外，射线或者高温灭菌方式，否则会影响化合物活性，甚至破坏其结构导致彻底失活。</w:t>
      </w:r>
    </w:p>
    <w:p>
      <w:pPr>
        <w:pStyle w:val="7"/>
        <w:numPr>
          <w:ilvl w:val="0"/>
          <w:numId w:val="2"/>
        </w:numPr>
        <w:tabs>
          <w:tab w:val="left" w:pos="277"/>
        </w:tabs>
        <w:spacing w:before="199" w:after="0" w:line="223" w:lineRule="auto"/>
        <w:ind w:left="120" w:right="987" w:firstLine="0"/>
        <w:jc w:val="both"/>
        <w:rPr>
          <w:sz w:val="18"/>
        </w:rPr>
      </w:pPr>
      <w:r>
        <w:rPr>
          <w:b/>
          <w:sz w:val="18"/>
        </w:rPr>
        <w:t>体内动物实验应用</w:t>
      </w:r>
      <w:r>
        <w:rPr>
          <w:spacing w:val="-1"/>
          <w:sz w:val="18"/>
        </w:rPr>
        <w:t>：由于很多化合物是脂溶性的，动物实验工作液配制失活，可能会需要加入一些药用</w:t>
      </w:r>
      <w:r>
        <w:rPr>
          <w:sz w:val="18"/>
        </w:rPr>
        <w:t>辅料作为助溶剂，如吐温，CMC-NA，</w:t>
      </w:r>
      <w:r>
        <w:rPr>
          <w:spacing w:val="-1"/>
          <w:sz w:val="18"/>
        </w:rPr>
        <w:t xml:space="preserve">甘油等，具体需要客户查阅相关文献决定。如使用 </w:t>
      </w:r>
      <w:r>
        <w:rPr>
          <w:sz w:val="18"/>
        </w:rPr>
        <w:t>DMSO，请确</w:t>
      </w:r>
      <w:r>
        <w:rPr>
          <w:spacing w:val="-5"/>
          <w:sz w:val="18"/>
        </w:rPr>
        <w:t xml:space="preserve">保 </w:t>
      </w:r>
      <w:r>
        <w:rPr>
          <w:sz w:val="18"/>
        </w:rPr>
        <w:t>DMSO</w:t>
      </w:r>
      <w:r>
        <w:rPr>
          <w:spacing w:val="-3"/>
          <w:sz w:val="18"/>
        </w:rPr>
        <w:t xml:space="preserve"> 的终浓度&lt;</w:t>
      </w:r>
      <w:r>
        <w:rPr>
          <w:sz w:val="18"/>
        </w:rPr>
        <w:t>5%,以避免毒性作用。给药剂量设计时候，可以参考下表</w:t>
      </w:r>
    </w:p>
    <w:p>
      <w:pPr>
        <w:pStyle w:val="3"/>
        <w:spacing w:line="318" w:lineRule="exact"/>
      </w:pPr>
      <w:r>
        <w:t>动物体表面积等效剂量换算表</w:t>
      </w:r>
    </w:p>
    <w:p>
      <w:pPr>
        <w:pStyle w:val="3"/>
        <w:spacing w:before="7"/>
        <w:ind w:left="0"/>
        <w:rPr>
          <w:sz w:val="10"/>
        </w:rPr>
      </w:pPr>
    </w:p>
    <w:tbl>
      <w:tblPr>
        <w:tblStyle w:val="4"/>
        <w:tblW w:w="0" w:type="auto"/>
        <w:tblInd w:w="121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95"/>
        <w:gridCol w:w="1366"/>
        <w:gridCol w:w="111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08" w:hRule="atLeast"/>
        </w:trPr>
        <w:tc>
          <w:tcPr>
            <w:tcW w:w="1080" w:type="dxa"/>
          </w:tcPr>
          <w:p>
            <w:pPr>
              <w:pStyle w:val="8"/>
              <w:spacing w:line="317" w:lineRule="exact"/>
              <w:rPr>
                <w:sz w:val="18"/>
              </w:rPr>
            </w:pPr>
            <w:r>
              <w:rPr>
                <w:sz w:val="18"/>
              </w:rPr>
              <w:t>物种</w:t>
            </w:r>
          </w:p>
        </w:tc>
        <w:tc>
          <w:tcPr>
            <w:tcW w:w="1095" w:type="dxa"/>
          </w:tcPr>
          <w:p>
            <w:pPr>
              <w:pStyle w:val="8"/>
              <w:spacing w:line="317" w:lineRule="exact"/>
              <w:rPr>
                <w:sz w:val="18"/>
              </w:rPr>
            </w:pPr>
            <w:r>
              <w:rPr>
                <w:sz w:val="18"/>
              </w:rPr>
              <w:t>体重(KG)</w:t>
            </w:r>
          </w:p>
        </w:tc>
        <w:tc>
          <w:tcPr>
            <w:tcW w:w="1366" w:type="dxa"/>
          </w:tcPr>
          <w:p>
            <w:pPr>
              <w:pStyle w:val="8"/>
              <w:spacing w:line="317" w:lineRule="exact"/>
              <w:rPr>
                <w:sz w:val="18"/>
              </w:rPr>
            </w:pPr>
            <w:r>
              <w:rPr>
                <w:sz w:val="18"/>
              </w:rPr>
              <w:t>体表面积(M2)</w:t>
            </w:r>
          </w:p>
        </w:tc>
        <w:tc>
          <w:tcPr>
            <w:tcW w:w="1110" w:type="dxa"/>
          </w:tcPr>
          <w:p>
            <w:pPr>
              <w:pStyle w:val="8"/>
              <w:spacing w:line="317" w:lineRule="exact"/>
              <w:rPr>
                <w:sz w:val="18"/>
              </w:rPr>
            </w:pPr>
            <w:r>
              <w:rPr>
                <w:sz w:val="18"/>
              </w:rPr>
              <w:t>Km 系数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080" w:type="dxa"/>
          </w:tcPr>
          <w:p>
            <w:pPr>
              <w:pStyle w:val="8"/>
              <w:spacing w:line="317" w:lineRule="exact"/>
              <w:rPr>
                <w:sz w:val="18"/>
              </w:rPr>
            </w:pPr>
            <w:r>
              <w:rPr>
                <w:sz w:val="18"/>
              </w:rPr>
              <w:t>狒狒</w:t>
            </w:r>
          </w:p>
        </w:tc>
        <w:tc>
          <w:tcPr>
            <w:tcW w:w="1095" w:type="dxa"/>
          </w:tcPr>
          <w:p>
            <w:pPr>
              <w:pStyle w:val="8"/>
              <w:spacing w:line="317" w:lineRule="exac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366" w:type="dxa"/>
          </w:tcPr>
          <w:p>
            <w:pPr>
              <w:pStyle w:val="8"/>
              <w:spacing w:line="317" w:lineRule="exact"/>
              <w:rPr>
                <w:sz w:val="18"/>
              </w:rPr>
            </w:pPr>
            <w:r>
              <w:rPr>
                <w:sz w:val="18"/>
              </w:rPr>
              <w:t>0.6</w:t>
            </w:r>
          </w:p>
        </w:tc>
        <w:tc>
          <w:tcPr>
            <w:tcW w:w="1110" w:type="dxa"/>
          </w:tcPr>
          <w:p>
            <w:pPr>
              <w:pStyle w:val="8"/>
              <w:spacing w:line="317" w:lineRule="exact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</w:tr>
    </w:tbl>
    <w:p>
      <w:pPr>
        <w:spacing w:after="0" w:line="317" w:lineRule="exact"/>
        <w:rPr>
          <w:sz w:val="18"/>
        </w:rPr>
        <w:sectPr>
          <w:pgSz w:w="11910" w:h="16840"/>
          <w:pgMar w:top="1500" w:right="860" w:bottom="1280" w:left="1680" w:header="708" w:footer="1098" w:gutter="0"/>
        </w:sectPr>
      </w:pPr>
    </w:p>
    <w:tbl>
      <w:tblPr>
        <w:tblStyle w:val="4"/>
        <w:tblW w:w="0" w:type="auto"/>
        <w:tblInd w:w="121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95"/>
        <w:gridCol w:w="1366"/>
        <w:gridCol w:w="111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080" w:type="dxa"/>
          </w:tcPr>
          <w:p>
            <w:pPr>
              <w:pStyle w:val="8"/>
              <w:spacing w:line="318" w:lineRule="exact"/>
              <w:rPr>
                <w:sz w:val="18"/>
              </w:rPr>
            </w:pPr>
            <w:r>
              <w:rPr>
                <w:sz w:val="18"/>
              </w:rPr>
              <w:t>狗</w:t>
            </w:r>
          </w:p>
        </w:tc>
        <w:tc>
          <w:tcPr>
            <w:tcW w:w="1095" w:type="dxa"/>
          </w:tcPr>
          <w:p>
            <w:pPr>
              <w:pStyle w:val="8"/>
              <w:spacing w:line="318" w:lineRule="exact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366" w:type="dxa"/>
          </w:tcPr>
          <w:p>
            <w:pPr>
              <w:pStyle w:val="8"/>
              <w:spacing w:line="318" w:lineRule="exact"/>
              <w:rPr>
                <w:sz w:val="18"/>
              </w:rPr>
            </w:pPr>
            <w:r>
              <w:rPr>
                <w:sz w:val="18"/>
              </w:rPr>
              <w:t>0.5</w:t>
            </w:r>
          </w:p>
        </w:tc>
        <w:tc>
          <w:tcPr>
            <w:tcW w:w="1110" w:type="dxa"/>
          </w:tcPr>
          <w:p>
            <w:pPr>
              <w:pStyle w:val="8"/>
              <w:spacing w:line="318" w:lineRule="exact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80" w:type="dxa"/>
          </w:tcPr>
          <w:p>
            <w:pPr>
              <w:pStyle w:val="8"/>
              <w:spacing w:line="320" w:lineRule="exact"/>
              <w:rPr>
                <w:sz w:val="18"/>
              </w:rPr>
            </w:pPr>
            <w:r>
              <w:rPr>
                <w:sz w:val="18"/>
              </w:rPr>
              <w:t>猴</w:t>
            </w:r>
          </w:p>
        </w:tc>
        <w:tc>
          <w:tcPr>
            <w:tcW w:w="1095" w:type="dxa"/>
          </w:tcPr>
          <w:p>
            <w:pPr>
              <w:pStyle w:val="8"/>
              <w:spacing w:line="320" w:lineRule="exac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366" w:type="dxa"/>
          </w:tcPr>
          <w:p>
            <w:pPr>
              <w:pStyle w:val="8"/>
              <w:spacing w:line="320" w:lineRule="exact"/>
              <w:rPr>
                <w:sz w:val="18"/>
              </w:rPr>
            </w:pPr>
            <w:r>
              <w:rPr>
                <w:sz w:val="18"/>
              </w:rPr>
              <w:t>0.24</w:t>
            </w:r>
          </w:p>
        </w:tc>
        <w:tc>
          <w:tcPr>
            <w:tcW w:w="1110" w:type="dxa"/>
          </w:tcPr>
          <w:p>
            <w:pPr>
              <w:pStyle w:val="8"/>
              <w:spacing w:line="320" w:lineRule="exac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080" w:type="dxa"/>
          </w:tcPr>
          <w:p>
            <w:pPr>
              <w:pStyle w:val="8"/>
              <w:spacing w:line="317" w:lineRule="exact"/>
              <w:rPr>
                <w:sz w:val="18"/>
              </w:rPr>
            </w:pPr>
            <w:r>
              <w:rPr>
                <w:sz w:val="18"/>
              </w:rPr>
              <w:t>兔</w:t>
            </w:r>
          </w:p>
        </w:tc>
        <w:tc>
          <w:tcPr>
            <w:tcW w:w="1095" w:type="dxa"/>
          </w:tcPr>
          <w:p>
            <w:pPr>
              <w:pStyle w:val="8"/>
              <w:spacing w:line="317" w:lineRule="exact"/>
              <w:rPr>
                <w:sz w:val="18"/>
              </w:rPr>
            </w:pPr>
            <w:r>
              <w:rPr>
                <w:sz w:val="18"/>
              </w:rPr>
              <w:t>1.8</w:t>
            </w:r>
          </w:p>
        </w:tc>
        <w:tc>
          <w:tcPr>
            <w:tcW w:w="1366" w:type="dxa"/>
          </w:tcPr>
          <w:p>
            <w:pPr>
              <w:pStyle w:val="8"/>
              <w:spacing w:line="317" w:lineRule="exact"/>
              <w:rPr>
                <w:sz w:val="18"/>
              </w:rPr>
            </w:pPr>
            <w:r>
              <w:rPr>
                <w:sz w:val="18"/>
              </w:rPr>
              <w:t>0.15</w:t>
            </w:r>
          </w:p>
        </w:tc>
        <w:tc>
          <w:tcPr>
            <w:tcW w:w="1110" w:type="dxa"/>
          </w:tcPr>
          <w:p>
            <w:pPr>
              <w:pStyle w:val="8"/>
              <w:spacing w:line="317" w:lineRule="exac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080" w:type="dxa"/>
          </w:tcPr>
          <w:p>
            <w:pPr>
              <w:pStyle w:val="8"/>
              <w:spacing w:line="317" w:lineRule="exact"/>
              <w:rPr>
                <w:sz w:val="18"/>
              </w:rPr>
            </w:pPr>
            <w:r>
              <w:rPr>
                <w:sz w:val="18"/>
              </w:rPr>
              <w:t>豚鼠</w:t>
            </w:r>
          </w:p>
        </w:tc>
        <w:tc>
          <w:tcPr>
            <w:tcW w:w="1095" w:type="dxa"/>
          </w:tcPr>
          <w:p>
            <w:pPr>
              <w:pStyle w:val="8"/>
              <w:spacing w:line="317" w:lineRule="exact"/>
              <w:rPr>
                <w:sz w:val="18"/>
              </w:rPr>
            </w:pPr>
            <w:r>
              <w:rPr>
                <w:sz w:val="18"/>
              </w:rPr>
              <w:t>0.4</w:t>
            </w:r>
          </w:p>
        </w:tc>
        <w:tc>
          <w:tcPr>
            <w:tcW w:w="1366" w:type="dxa"/>
          </w:tcPr>
          <w:p>
            <w:pPr>
              <w:pStyle w:val="8"/>
              <w:spacing w:line="317" w:lineRule="exact"/>
              <w:rPr>
                <w:sz w:val="18"/>
              </w:rPr>
            </w:pPr>
            <w:r>
              <w:rPr>
                <w:sz w:val="18"/>
              </w:rPr>
              <w:t>0.05</w:t>
            </w:r>
          </w:p>
        </w:tc>
        <w:tc>
          <w:tcPr>
            <w:tcW w:w="1110" w:type="dxa"/>
          </w:tcPr>
          <w:p>
            <w:pPr>
              <w:pStyle w:val="8"/>
              <w:spacing w:line="317" w:lineRule="exact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080" w:type="dxa"/>
          </w:tcPr>
          <w:p>
            <w:pPr>
              <w:pStyle w:val="8"/>
              <w:spacing w:line="317" w:lineRule="exact"/>
              <w:rPr>
                <w:sz w:val="18"/>
              </w:rPr>
            </w:pPr>
            <w:r>
              <w:rPr>
                <w:sz w:val="18"/>
              </w:rPr>
              <w:t>大鼠</w:t>
            </w:r>
          </w:p>
        </w:tc>
        <w:tc>
          <w:tcPr>
            <w:tcW w:w="1095" w:type="dxa"/>
          </w:tcPr>
          <w:p>
            <w:pPr>
              <w:pStyle w:val="8"/>
              <w:spacing w:line="317" w:lineRule="exact"/>
              <w:rPr>
                <w:sz w:val="18"/>
              </w:rPr>
            </w:pPr>
            <w:r>
              <w:rPr>
                <w:sz w:val="18"/>
              </w:rPr>
              <w:t>0.15</w:t>
            </w:r>
          </w:p>
        </w:tc>
        <w:tc>
          <w:tcPr>
            <w:tcW w:w="1366" w:type="dxa"/>
          </w:tcPr>
          <w:p>
            <w:pPr>
              <w:pStyle w:val="8"/>
              <w:spacing w:line="317" w:lineRule="exact"/>
              <w:rPr>
                <w:sz w:val="18"/>
              </w:rPr>
            </w:pPr>
            <w:r>
              <w:rPr>
                <w:sz w:val="18"/>
              </w:rPr>
              <w:t>0.025</w:t>
            </w:r>
          </w:p>
        </w:tc>
        <w:tc>
          <w:tcPr>
            <w:tcW w:w="1110" w:type="dxa"/>
          </w:tcPr>
          <w:p>
            <w:pPr>
              <w:pStyle w:val="8"/>
              <w:spacing w:line="317" w:lineRule="exact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080" w:type="dxa"/>
          </w:tcPr>
          <w:p>
            <w:pPr>
              <w:pStyle w:val="8"/>
              <w:spacing w:line="317" w:lineRule="exact"/>
              <w:rPr>
                <w:sz w:val="18"/>
              </w:rPr>
            </w:pPr>
            <w:r>
              <w:rPr>
                <w:sz w:val="18"/>
              </w:rPr>
              <w:t>仓鼠</w:t>
            </w:r>
          </w:p>
        </w:tc>
        <w:tc>
          <w:tcPr>
            <w:tcW w:w="1095" w:type="dxa"/>
          </w:tcPr>
          <w:p>
            <w:pPr>
              <w:pStyle w:val="8"/>
              <w:spacing w:line="317" w:lineRule="exact"/>
              <w:rPr>
                <w:sz w:val="18"/>
              </w:rPr>
            </w:pPr>
            <w:r>
              <w:rPr>
                <w:sz w:val="18"/>
              </w:rPr>
              <w:t>0.08</w:t>
            </w:r>
          </w:p>
        </w:tc>
        <w:tc>
          <w:tcPr>
            <w:tcW w:w="1366" w:type="dxa"/>
          </w:tcPr>
          <w:p>
            <w:pPr>
              <w:pStyle w:val="8"/>
              <w:spacing w:line="317" w:lineRule="exact"/>
              <w:rPr>
                <w:sz w:val="18"/>
              </w:rPr>
            </w:pPr>
            <w:r>
              <w:rPr>
                <w:sz w:val="18"/>
              </w:rPr>
              <w:t>0.02</w:t>
            </w:r>
          </w:p>
        </w:tc>
        <w:tc>
          <w:tcPr>
            <w:tcW w:w="1110" w:type="dxa"/>
          </w:tcPr>
          <w:p>
            <w:pPr>
              <w:pStyle w:val="8"/>
              <w:spacing w:line="317" w:lineRule="exact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80" w:type="dxa"/>
          </w:tcPr>
          <w:p>
            <w:pPr>
              <w:pStyle w:val="8"/>
              <w:spacing w:line="320" w:lineRule="exact"/>
              <w:rPr>
                <w:sz w:val="18"/>
              </w:rPr>
            </w:pPr>
            <w:r>
              <w:rPr>
                <w:sz w:val="18"/>
              </w:rPr>
              <w:t>小鼠</w:t>
            </w:r>
          </w:p>
        </w:tc>
        <w:tc>
          <w:tcPr>
            <w:tcW w:w="1095" w:type="dxa"/>
          </w:tcPr>
          <w:p>
            <w:pPr>
              <w:pStyle w:val="8"/>
              <w:spacing w:line="320" w:lineRule="exact"/>
              <w:rPr>
                <w:sz w:val="18"/>
              </w:rPr>
            </w:pPr>
            <w:r>
              <w:rPr>
                <w:sz w:val="18"/>
              </w:rPr>
              <w:t>0.02</w:t>
            </w:r>
          </w:p>
        </w:tc>
        <w:tc>
          <w:tcPr>
            <w:tcW w:w="1366" w:type="dxa"/>
          </w:tcPr>
          <w:p>
            <w:pPr>
              <w:pStyle w:val="8"/>
              <w:spacing w:line="320" w:lineRule="exact"/>
              <w:rPr>
                <w:sz w:val="18"/>
              </w:rPr>
            </w:pPr>
            <w:r>
              <w:rPr>
                <w:sz w:val="18"/>
              </w:rPr>
              <w:t>0.007</w:t>
            </w:r>
          </w:p>
        </w:tc>
        <w:tc>
          <w:tcPr>
            <w:tcW w:w="1110" w:type="dxa"/>
          </w:tcPr>
          <w:p>
            <w:pPr>
              <w:pStyle w:val="8"/>
              <w:spacing w:line="320" w:lineRule="exac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</w:tbl>
    <w:p>
      <w:pPr>
        <w:pStyle w:val="3"/>
        <w:spacing w:line="328" w:lineRule="exact"/>
      </w:pPr>
      <w:r>
        <w:t>动物 A(mg/kg)=动物 B(mg/kg) X 动物 B 的 Km 系数/动物 A 的 Km 系数</w:t>
      </w:r>
    </w:p>
    <w:p>
      <w:pPr>
        <w:pStyle w:val="2"/>
        <w:numPr>
          <w:ilvl w:val="0"/>
          <w:numId w:val="2"/>
        </w:numPr>
        <w:tabs>
          <w:tab w:val="left" w:pos="284"/>
        </w:tabs>
        <w:spacing w:before="174" w:after="0" w:line="240" w:lineRule="auto"/>
        <w:ind w:left="283" w:right="0" w:hanging="164"/>
        <w:jc w:val="left"/>
      </w:pPr>
      <w:r>
        <w:t>关于产品到货处理及验收</w:t>
      </w:r>
    </w:p>
    <w:p>
      <w:pPr>
        <w:pStyle w:val="3"/>
        <w:spacing w:before="196" w:line="223" w:lineRule="auto"/>
        <w:ind w:right="962"/>
      </w:pPr>
      <w:r>
        <w:t>您收到产品后，请及时查验产品的包装完整性，并对数量进行确认。对于很多微量的产品，数量低于500MG</w:t>
      </w:r>
      <w:r>
        <w:rPr>
          <w:spacing w:val="-3"/>
        </w:rPr>
        <w:t xml:space="preserve"> 的，我们出厂前都是保证正确数量包装的。由于产品包装可能在运输过程中倒置，从而导致产品</w:t>
      </w:r>
      <w:r>
        <w:rPr>
          <w:spacing w:val="-4"/>
        </w:rPr>
        <w:t>附着在管壁或者盖子上，这时候请不要先打开盖子，需正位放置轻轻拍打，使产品沉降到管底。对于液体</w:t>
      </w:r>
      <w:r>
        <w:rPr>
          <w:spacing w:val="-2"/>
        </w:rPr>
        <w:t xml:space="preserve">产品，可以在 </w:t>
      </w:r>
      <w:r>
        <w:t>200</w:t>
      </w:r>
      <w:r>
        <w:rPr>
          <w:spacing w:val="-3"/>
        </w:rPr>
        <w:t xml:space="preserve"> 转左右稍作离心，管底收集液体，从而避免损失。</w:t>
      </w:r>
    </w:p>
    <w:p>
      <w:pPr>
        <w:pStyle w:val="3"/>
        <w:spacing w:line="317" w:lineRule="exact"/>
      </w:pPr>
      <w:r>
        <w:t>产品标签标示重量会有一定误差，在下面范围内均属于我司正常范围，望周知</w:t>
      </w:r>
    </w:p>
    <w:p>
      <w:pPr>
        <w:pStyle w:val="3"/>
        <w:spacing w:before="5"/>
        <w:ind w:left="0"/>
        <w:rPr>
          <w:sz w:val="10"/>
        </w:rPr>
      </w:pPr>
    </w:p>
    <w:tbl>
      <w:tblPr>
        <w:tblStyle w:val="4"/>
        <w:tblW w:w="0" w:type="auto"/>
        <w:tblInd w:w="121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35"/>
        <w:gridCol w:w="212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35" w:type="dxa"/>
          </w:tcPr>
          <w:p>
            <w:pPr>
              <w:pStyle w:val="8"/>
              <w:spacing w:line="320" w:lineRule="exact"/>
              <w:rPr>
                <w:sz w:val="18"/>
              </w:rPr>
            </w:pPr>
            <w:r>
              <w:rPr>
                <w:sz w:val="18"/>
              </w:rPr>
              <w:t>标示重量范围</w:t>
            </w:r>
          </w:p>
        </w:tc>
        <w:tc>
          <w:tcPr>
            <w:tcW w:w="2129" w:type="dxa"/>
          </w:tcPr>
          <w:p>
            <w:pPr>
              <w:pStyle w:val="8"/>
              <w:spacing w:line="320" w:lineRule="exact"/>
              <w:rPr>
                <w:sz w:val="18"/>
              </w:rPr>
            </w:pPr>
            <w:r>
              <w:rPr>
                <w:sz w:val="18"/>
              </w:rPr>
              <w:t>误差范围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2235" w:type="dxa"/>
          </w:tcPr>
          <w:p>
            <w:pPr>
              <w:pStyle w:val="8"/>
              <w:spacing w:line="317" w:lineRule="exact"/>
              <w:rPr>
                <w:sz w:val="18"/>
              </w:rPr>
            </w:pPr>
            <w:r>
              <w:rPr>
                <w:sz w:val="18"/>
              </w:rPr>
              <w:t>1-20MG</w:t>
            </w:r>
          </w:p>
        </w:tc>
        <w:tc>
          <w:tcPr>
            <w:tcW w:w="2129" w:type="dxa"/>
          </w:tcPr>
          <w:p>
            <w:pPr>
              <w:pStyle w:val="8"/>
              <w:spacing w:line="317" w:lineRule="exact"/>
              <w:rPr>
                <w:sz w:val="18"/>
              </w:rPr>
            </w:pPr>
            <w:r>
              <w:rPr>
                <w:sz w:val="18"/>
              </w:rPr>
              <w:t>0.1MG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2235" w:type="dxa"/>
          </w:tcPr>
          <w:p>
            <w:pPr>
              <w:pStyle w:val="8"/>
              <w:spacing w:line="317" w:lineRule="exact"/>
              <w:rPr>
                <w:sz w:val="18"/>
              </w:rPr>
            </w:pPr>
            <w:r>
              <w:rPr>
                <w:sz w:val="18"/>
              </w:rPr>
              <w:t>50-500MG</w:t>
            </w:r>
          </w:p>
        </w:tc>
        <w:tc>
          <w:tcPr>
            <w:tcW w:w="2129" w:type="dxa"/>
          </w:tcPr>
          <w:p>
            <w:pPr>
              <w:pStyle w:val="8"/>
              <w:spacing w:line="317" w:lineRule="exact"/>
              <w:rPr>
                <w:sz w:val="18"/>
              </w:rPr>
            </w:pPr>
            <w:r>
              <w:rPr>
                <w:sz w:val="18"/>
              </w:rPr>
              <w:t>1MG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35" w:type="dxa"/>
          </w:tcPr>
          <w:p>
            <w:pPr>
              <w:pStyle w:val="8"/>
              <w:spacing w:line="317" w:lineRule="exact"/>
              <w:rPr>
                <w:sz w:val="18"/>
              </w:rPr>
            </w:pPr>
            <w:r>
              <w:rPr>
                <w:sz w:val="18"/>
              </w:rPr>
              <w:t>&gt;1G</w:t>
            </w:r>
          </w:p>
        </w:tc>
        <w:tc>
          <w:tcPr>
            <w:tcW w:w="2129" w:type="dxa"/>
          </w:tcPr>
          <w:p>
            <w:pPr>
              <w:pStyle w:val="8"/>
              <w:spacing w:line="317" w:lineRule="exact"/>
              <w:rPr>
                <w:sz w:val="18"/>
              </w:rPr>
            </w:pPr>
            <w:r>
              <w:rPr>
                <w:sz w:val="18"/>
              </w:rPr>
              <w:t>3-5MG</w:t>
            </w:r>
          </w:p>
        </w:tc>
      </w:tr>
    </w:tbl>
    <w:p>
      <w:pPr>
        <w:pStyle w:val="3"/>
        <w:spacing w:before="13"/>
        <w:ind w:left="0"/>
        <w:rPr>
          <w:sz w:val="27"/>
        </w:rPr>
      </w:pPr>
    </w:p>
    <w:p>
      <w:pPr>
        <w:pStyle w:val="3"/>
        <w:spacing w:line="223" w:lineRule="auto"/>
        <w:ind w:right="963"/>
        <w:jc w:val="both"/>
      </w:pPr>
      <w:r>
        <w:t>为什么会看起来包装瓶是空的，如果您购买的产品的量非常小，同时有些产品在冻干的过程中粘附在管壁上形成薄薄的一层，可能观察不到产品的存在。您可以加入指定溶剂（参照操作手册）并涡旋或超声震荡使之完全溶解。</w:t>
      </w:r>
    </w:p>
    <w:p>
      <w:pPr>
        <w:pStyle w:val="3"/>
        <w:spacing w:before="1" w:line="223" w:lineRule="auto"/>
        <w:ind w:right="963"/>
      </w:pPr>
      <w:r>
        <w:t>对于蜡状或油状的的产品很难取出称量它们的质量，我们建议您用合适的溶剂直接溶解该化合物；对于具有吸湿性的化合物，暴露在空气中会吸收水分，呈现液滴状，这种产品需要放置在干燥器中保存。</w:t>
      </w:r>
    </w:p>
    <w:sectPr>
      <w:pgSz w:w="11910" w:h="16840"/>
      <w:pgMar w:top="1500" w:right="860" w:bottom="1280" w:left="1680" w:header="708" w:footer="1098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ind w:left="0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multilevel"/>
    <w:tmpl w:val="CF092B84"/>
    <w:lvl w:ilvl="0" w:tentative="0">
      <w:start w:val="1"/>
      <w:numFmt w:val="decimal"/>
      <w:lvlText w:val="%1"/>
      <w:lvlJc w:val="left"/>
      <w:pPr>
        <w:ind w:left="120" w:hanging="152"/>
        <w:jc w:val="left"/>
      </w:pPr>
      <w:rPr>
        <w:rFonts w:hint="default"/>
        <w:w w:val="100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1044" w:hanging="152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1969" w:hanging="152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2893" w:hanging="152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3818" w:hanging="152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4743" w:hanging="152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5667" w:hanging="152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6592" w:hanging="152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7517" w:hanging="152"/>
      </w:pPr>
      <w:rPr>
        <w:rFonts w:hint="default"/>
        <w:lang w:val="en-US" w:eastAsia="en-US" w:bidi="en-US"/>
      </w:rPr>
    </w:lvl>
  </w:abstractNum>
  <w:abstractNum w:abstractNumId="1">
    <w:nsid w:val="0053208E"/>
    <w:multiLevelType w:val="multilevel"/>
    <w:tmpl w:val="0053208E"/>
    <w:lvl w:ilvl="0" w:tentative="0">
      <w:start w:val="0"/>
      <w:numFmt w:val="bullet"/>
      <w:lvlText w:val="●"/>
      <w:lvlJc w:val="left"/>
      <w:pPr>
        <w:ind w:left="238" w:hanging="119"/>
      </w:pPr>
      <w:rPr>
        <w:rFonts w:hint="default" w:ascii="微软雅黑" w:hAnsi="微软雅黑" w:eastAsia="微软雅黑" w:cs="微软雅黑"/>
        <w:b/>
        <w:bCs/>
        <w:w w:val="100"/>
        <w:sz w:val="16"/>
        <w:szCs w:val="16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1152" w:hanging="119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2065" w:hanging="119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2977" w:hanging="119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3890" w:hanging="119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4803" w:hanging="119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5715" w:hanging="119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6628" w:hanging="119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7541" w:hanging="119"/>
      </w:pPr>
      <w:rPr>
        <w:rFonts w:hint="default"/>
        <w:lang w:val="en-US" w:eastAsia="en-US" w:bidi="en-U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3662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微软雅黑" w:hAnsi="微软雅黑" w:eastAsia="微软雅黑" w:cs="微软雅黑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ind w:left="120"/>
      <w:outlineLvl w:val="1"/>
    </w:pPr>
    <w:rPr>
      <w:rFonts w:ascii="微软雅黑" w:hAnsi="微软雅黑" w:eastAsia="微软雅黑" w:cs="微软雅黑"/>
      <w:b/>
      <w:bCs/>
      <w:sz w:val="18"/>
      <w:szCs w:val="18"/>
      <w:lang w:val="en-US" w:eastAsia="en-US" w:bidi="en-US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20"/>
    </w:pPr>
    <w:rPr>
      <w:rFonts w:ascii="微软雅黑" w:hAnsi="微软雅黑" w:eastAsia="微软雅黑" w:cs="微软雅黑"/>
      <w:sz w:val="18"/>
      <w:szCs w:val="18"/>
      <w:lang w:val="en-US" w:eastAsia="en-US" w:bidi="en-US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spacing w:before="177"/>
      <w:ind w:left="120"/>
    </w:pPr>
    <w:rPr>
      <w:rFonts w:ascii="微软雅黑" w:hAnsi="微软雅黑" w:eastAsia="微软雅黑" w:cs="微软雅黑"/>
      <w:lang w:val="en-US" w:eastAsia="en-US" w:bidi="en-US"/>
    </w:rPr>
  </w:style>
  <w:style w:type="paragraph" w:customStyle="1" w:styleId="8">
    <w:name w:val="Table Paragraph"/>
    <w:basedOn w:val="1"/>
    <w:qFormat/>
    <w:uiPriority w:val="1"/>
    <w:pPr>
      <w:ind w:left="6"/>
    </w:pPr>
    <w:rPr>
      <w:rFonts w:ascii="微软雅黑" w:hAnsi="微软雅黑" w:eastAsia="微软雅黑" w:cs="微软雅黑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2021-03-17T09:26:00Z</dcterms:created>
  <dc:creator>Administrator</dc:creator>
  <cp:lastModifiedBy>赵辉</cp:lastModifiedBy>
  <cp:lastPrinted>2021-03-17T09:30:28Z</cp:lastPrinted>
  <dcterms:modified xsi:type="dcterms:W3CDTF">2021-03-17T09:36:32Z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2019-02-15T00:00:00Z</vt:filetime>
  </property>
  <property fmtid="{D5CDD505-2E9C-101B-9397-08002B2CF9AE}" pid="3" name="Creator">
    <vt:lpwstr>Microsoft? Office Word 2007</vt:lpwstr>
  </property>
  <property fmtid="{D5CDD505-2E9C-101B-9397-08002B2CF9AE}" pid="4" name="LastSaved">
    <vt:filetime>2021-03-17T00:00:00Z</vt:filetime>
  </property>
  <property fmtid="{D5CDD505-2E9C-101B-9397-08002B2CF9AE}" pid="5" name="KSOProductBuildVer">
    <vt:lpwstr>2052-11.1.0.10314</vt:lpwstr>
  </property>
</Properties>
</file>