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92DBF">
      <w:pPr>
        <w:spacing w:before="169" w:line="201" w:lineRule="auto"/>
        <w:ind w:left="2597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Dispase II (neutral protease, grade</w:t>
      </w:r>
      <w:r>
        <w:rPr>
          <w:rFonts w:ascii="Times New Roman" w:hAnsi="Times New Roman" w:eastAsia="Times New Roman" w:cs="Times New Roman"/>
          <w:spacing w:val="26"/>
          <w:w w:val="10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II)</w:t>
      </w:r>
    </w:p>
    <w:p w14:paraId="79CC5F74">
      <w:pPr>
        <w:pStyle w:val="2"/>
        <w:spacing w:before="243" w:line="228" w:lineRule="auto"/>
        <w:ind w:left="22"/>
      </w:pPr>
      <w:r>
        <w:rPr>
          <w:b/>
          <w:bCs/>
          <w:spacing w:val="5"/>
        </w:rPr>
        <w:t>产品储存</w:t>
      </w:r>
      <w:r>
        <w:rPr>
          <w:spacing w:val="5"/>
        </w:rPr>
        <w:t>：</w:t>
      </w:r>
      <w:r>
        <w:rPr>
          <w:spacing w:val="27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-20℃</w:t>
      </w:r>
      <w:r>
        <w:rPr>
          <w:spacing w:val="5"/>
        </w:rPr>
        <w:t>储存</w:t>
      </w:r>
    </w:p>
    <w:p w14:paraId="5D577B17">
      <w:pPr>
        <w:pStyle w:val="2"/>
        <w:spacing w:before="220" w:line="240" w:lineRule="auto"/>
        <w:ind w:left="22" w:right="3718"/>
        <w:rPr>
          <w:rFonts w:hint="eastAsia"/>
          <w:b w:val="0"/>
          <w:bCs w:val="0"/>
          <w:spacing w:val="7"/>
          <w:lang w:val="en-US" w:eastAsia="zh-CN"/>
        </w:rPr>
      </w:pPr>
      <w:r>
        <w:rPr>
          <w:b/>
          <w:bCs/>
          <w:spacing w:val="7"/>
        </w:rPr>
        <w:t>产品货号：</w:t>
      </w:r>
      <w:r>
        <w:rPr>
          <w:rFonts w:hint="eastAsia"/>
          <w:b w:val="0"/>
          <w:bCs w:val="0"/>
          <w:spacing w:val="7"/>
          <w:lang w:val="en-US" w:eastAsia="zh-CN"/>
        </w:rPr>
        <w:t>FK17036-100mg、500mg、1g</w:t>
      </w:r>
    </w:p>
    <w:p w14:paraId="2597E41E">
      <w:pPr>
        <w:pStyle w:val="2"/>
        <w:spacing w:before="220" w:line="240" w:lineRule="auto"/>
        <w:ind w:left="22" w:right="3718"/>
      </w:pPr>
      <w:r>
        <w:rPr>
          <w:rFonts w:ascii="Times New Roman" w:hAnsi="Times New Roman" w:eastAsia="Times New Roman" w:cs="Times New Roman"/>
          <w:spacing w:val="9"/>
        </w:rPr>
        <w:t xml:space="preserve"> </w:t>
      </w:r>
      <w:r>
        <w:rPr>
          <w:b/>
          <w:bCs/>
          <w:spacing w:val="4"/>
        </w:rPr>
        <w:t>产品参数：</w:t>
      </w:r>
    </w:p>
    <w:p w14:paraId="62DED21C">
      <w:pPr>
        <w:pStyle w:val="2"/>
        <w:spacing w:before="24" w:line="221" w:lineRule="auto"/>
        <w:ind w:left="23"/>
        <w:rPr>
          <w:rFonts w:ascii="Times New Roman" w:hAnsi="Times New Roman" w:eastAsia="Times New Roman" w:cs="Times New Roman"/>
        </w:rPr>
      </w:pPr>
      <w:r>
        <w:rPr>
          <w:spacing w:val="13"/>
        </w:rPr>
        <w:t>英文名：</w:t>
      </w:r>
      <w:r>
        <w:rPr>
          <w:rFonts w:ascii="Times New Roman" w:hAnsi="Times New Roman" w:eastAsia="Times New Roman" w:cs="Times New Roman"/>
        </w:rPr>
        <w:t>Dispase</w:t>
      </w:r>
      <w:r>
        <w:rPr>
          <w:rFonts w:ascii="Times New Roman" w:hAnsi="Times New Roman" w:eastAsia="Times New Roman" w:cs="Times New Roman"/>
          <w:spacing w:val="13"/>
        </w:rPr>
        <w:t xml:space="preserve"> </w:t>
      </w:r>
      <w:r>
        <w:rPr>
          <w:rFonts w:ascii="Times New Roman" w:hAnsi="Times New Roman" w:eastAsia="Times New Roman" w:cs="Times New Roman"/>
        </w:rPr>
        <w:t>II</w:t>
      </w:r>
    </w:p>
    <w:p w14:paraId="6D3F2970">
      <w:pPr>
        <w:pStyle w:val="2"/>
        <w:spacing w:before="228" w:line="228" w:lineRule="auto"/>
        <w:ind w:left="21"/>
      </w:pPr>
      <w:r>
        <w:rPr>
          <w:spacing w:val="7"/>
        </w:rPr>
        <w:t>储存条件：</w:t>
      </w:r>
      <w:r>
        <w:rPr>
          <w:rFonts w:ascii="Times New Roman" w:hAnsi="Times New Roman" w:eastAsia="Times New Roman" w:cs="Times New Roman"/>
          <w:spacing w:val="7"/>
        </w:rPr>
        <w:t>-20</w:t>
      </w:r>
      <w:r>
        <w:rPr>
          <w:spacing w:val="7"/>
        </w:rPr>
        <w:t>℃</w:t>
      </w:r>
    </w:p>
    <w:p w14:paraId="51504C3C">
      <w:pPr>
        <w:pStyle w:val="2"/>
        <w:spacing w:before="221" w:line="264" w:lineRule="exact"/>
        <w:ind w:left="21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position w:val="1"/>
        </w:rPr>
        <w:t>CAS</w:t>
      </w:r>
      <w:r>
        <w:rPr>
          <w:spacing w:val="5"/>
          <w:position w:val="1"/>
        </w:rPr>
        <w:t>：</w:t>
      </w:r>
      <w:r>
        <w:rPr>
          <w:rFonts w:ascii="Times New Roman" w:hAnsi="Times New Roman" w:eastAsia="Times New Roman" w:cs="Times New Roman"/>
          <w:spacing w:val="5"/>
          <w:position w:val="1"/>
        </w:rPr>
        <w:t>42613-33-2</w:t>
      </w:r>
    </w:p>
    <w:p w14:paraId="7923C6CD">
      <w:pPr>
        <w:pStyle w:val="2"/>
        <w:spacing w:before="204" w:line="227" w:lineRule="auto"/>
        <w:ind w:left="25"/>
      </w:pPr>
      <w:r>
        <w:rPr>
          <w:spacing w:val="7"/>
        </w:rPr>
        <w:t>级别：试剂级</w:t>
      </w:r>
    </w:p>
    <w:p w14:paraId="5CD0E7FD">
      <w:pPr>
        <w:pStyle w:val="2"/>
        <w:spacing w:before="221" w:line="228" w:lineRule="auto"/>
        <w:ind w:left="23"/>
      </w:pPr>
      <w:r>
        <w:rPr>
          <w:spacing w:val="9"/>
        </w:rPr>
        <w:t>来源：来源于多粘芽孢杆菌</w:t>
      </w:r>
    </w:p>
    <w:p w14:paraId="35B708F3">
      <w:pPr>
        <w:pStyle w:val="2"/>
        <w:spacing w:before="221" w:line="228" w:lineRule="auto"/>
        <w:ind w:left="24"/>
        <w:rPr>
          <w:rFonts w:ascii="Times New Roman" w:hAnsi="Times New Roman" w:eastAsia="Times New Roman" w:cs="Times New Roman"/>
        </w:rPr>
      </w:pPr>
      <w:r>
        <w:rPr>
          <w:spacing w:val="5"/>
        </w:rPr>
        <w:t>别名：分散酶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</w:rPr>
        <w:t>II</w:t>
      </w:r>
      <w:r>
        <w:rPr>
          <w:rFonts w:ascii="Times New Roman" w:hAnsi="Times New Roman" w:eastAsia="Times New Roman" w:cs="Times New Roman"/>
          <w:spacing w:val="5"/>
        </w:rPr>
        <w:t xml:space="preserve">  </w:t>
      </w:r>
      <w:r>
        <w:rPr>
          <w:spacing w:val="5"/>
        </w:rPr>
        <w:t>分散酶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2</w:t>
      </w:r>
      <w:r>
        <w:rPr>
          <w:rFonts w:ascii="Times New Roman" w:hAnsi="Times New Roman" w:eastAsia="Times New Roman" w:cs="Times New Roman"/>
          <w:spacing w:val="16"/>
        </w:rPr>
        <w:t xml:space="preserve">  </w:t>
      </w:r>
      <w:r>
        <w:rPr>
          <w:spacing w:val="5"/>
        </w:rPr>
        <w:t>中性蛋白酶</w:t>
      </w:r>
      <w:r>
        <w:rPr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2</w:t>
      </w:r>
    </w:p>
    <w:p w14:paraId="36471BEA">
      <w:pPr>
        <w:pStyle w:val="2"/>
        <w:spacing w:before="221" w:line="228" w:lineRule="auto"/>
        <w:ind w:left="26"/>
      </w:pPr>
      <w:r>
        <w:rPr>
          <w:spacing w:val="4"/>
        </w:rPr>
        <w:t>外观（性状</w:t>
      </w:r>
      <w:r>
        <w:rPr>
          <w:spacing w:val="7"/>
        </w:rPr>
        <w:t>）：</w:t>
      </w:r>
      <w:r>
        <w:rPr>
          <w:spacing w:val="-55"/>
        </w:rPr>
        <w:t xml:space="preserve"> </w:t>
      </w:r>
      <w:r>
        <w:rPr>
          <w:spacing w:val="4"/>
        </w:rPr>
        <w:t>白色粉末</w:t>
      </w:r>
    </w:p>
    <w:p w14:paraId="5EB4C3E6">
      <w:pPr>
        <w:pStyle w:val="2"/>
        <w:spacing w:before="222" w:line="227" w:lineRule="auto"/>
        <w:ind w:left="22"/>
      </w:pPr>
      <w:r>
        <w:rPr>
          <w:b/>
          <w:bCs/>
          <w:spacing w:val="4"/>
        </w:rPr>
        <w:t>产品简介：</w:t>
      </w:r>
    </w:p>
    <w:p w14:paraId="083E617D">
      <w:pPr>
        <w:pStyle w:val="2"/>
        <w:spacing w:before="222" w:line="429" w:lineRule="auto"/>
        <w:ind w:left="23" w:right="15" w:firstLine="414"/>
        <w:jc w:val="both"/>
      </w:pPr>
      <w:r>
        <w:rPr>
          <w:rFonts w:ascii="Times New Roman" w:hAnsi="Times New Roman" w:eastAsia="Times New Roman" w:cs="Times New Roman"/>
        </w:rPr>
        <w:t>Dispase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11"/>
        </w:rPr>
        <w:t>中文名称为中性蛋白酶，也称为分散酶，是一种非特异</w:t>
      </w:r>
      <w:r>
        <w:rPr>
          <w:spacing w:val="10"/>
        </w:rPr>
        <w:t>性的金属蛋白酶，被用</w:t>
      </w:r>
      <w:r>
        <w:t xml:space="preserve"> </w:t>
      </w:r>
      <w:r>
        <w:rPr>
          <w:spacing w:val="7"/>
        </w:rPr>
        <w:t>来从各种不同组织或器官中消化细胞外基质，释放并制备原代单细胞；或用于细胞培养中的</w:t>
      </w:r>
      <w:r>
        <w:rPr>
          <w:spacing w:val="14"/>
        </w:rPr>
        <w:t xml:space="preserve"> </w:t>
      </w:r>
      <w:r>
        <w:rPr>
          <w:spacing w:val="9"/>
        </w:rPr>
        <w:t>细胞收获或接种转移；也被用于防止悬浮细胞培养时的细胞意外结团。</w:t>
      </w:r>
    </w:p>
    <w:p w14:paraId="3470372E">
      <w:pPr>
        <w:pStyle w:val="2"/>
        <w:spacing w:before="12" w:line="430" w:lineRule="auto"/>
        <w:ind w:left="21" w:right="15" w:firstLine="427"/>
        <w:jc w:val="both"/>
      </w:pPr>
      <w:r>
        <w:rPr>
          <w:spacing w:val="7"/>
        </w:rPr>
        <w:t>蛋白水解酶类，如胰蛋白酶、胶原酶和链酶蛋白酶都被用语来分散组织、分类细胞，但</w:t>
      </w:r>
      <w:r>
        <w:rPr>
          <w:spacing w:val="2"/>
        </w:rPr>
        <w:t xml:space="preserve"> </w:t>
      </w:r>
      <w:r>
        <w:rPr>
          <w:spacing w:val="11"/>
        </w:rPr>
        <w:t>他们常伤害细胞，并且在培养时不稳定，甚至可能引入支原体污染。</w:t>
      </w:r>
      <w:r>
        <w:rPr>
          <w:rFonts w:ascii="Times New Roman" w:hAnsi="Times New Roman" w:eastAsia="Times New Roman" w:cs="Times New Roman"/>
        </w:rPr>
        <w:t>Dispase</w:t>
      </w:r>
      <w:r>
        <w:rPr>
          <w:rFonts w:ascii="Times New Roman" w:hAnsi="Times New Roman" w:eastAsia="Times New Roman" w:cs="Times New Roman"/>
          <w:spacing w:val="11"/>
        </w:rPr>
        <w:t xml:space="preserve"> </w:t>
      </w:r>
      <w:r>
        <w:rPr>
          <w:spacing w:val="11"/>
        </w:rPr>
        <w:t>就没有这个问</w:t>
      </w:r>
      <w:r>
        <w:rPr>
          <w:spacing w:val="5"/>
        </w:rPr>
        <w:t xml:space="preserve"> </w:t>
      </w:r>
      <w:r>
        <w:rPr>
          <w:spacing w:val="7"/>
        </w:rPr>
        <w:t>题，不会给细胞膜带来伤害，而且因为其来自细菌，故不会引入支原体或任何动物病毒；温</w:t>
      </w:r>
      <w:r>
        <w:rPr>
          <w:spacing w:val="15"/>
        </w:rPr>
        <w:t xml:space="preserve"> </w:t>
      </w:r>
      <w:r>
        <w:rPr>
          <w:spacing w:val="12"/>
        </w:rPr>
        <w:t>度、</w:t>
      </w:r>
      <w:r>
        <w:rPr>
          <w:rFonts w:ascii="Times New Roman" w:hAnsi="Times New Roman" w:eastAsia="Times New Roman" w:cs="Times New Roman"/>
        </w:rPr>
        <w:t>pH</w:t>
      </w:r>
      <w:r>
        <w:rPr>
          <w:rFonts w:ascii="Times New Roman" w:hAnsi="Times New Roman" w:eastAsia="Times New Roman" w:cs="Times New Roman"/>
          <w:spacing w:val="-24"/>
        </w:rPr>
        <w:t xml:space="preserve"> </w:t>
      </w:r>
      <w:r>
        <w:rPr>
          <w:spacing w:val="12"/>
        </w:rPr>
        <w:t>、血清成分等的差异对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</w:rPr>
        <w:t>Dispase</w:t>
      </w:r>
      <w:r>
        <w:rPr>
          <w:rFonts w:ascii="Times New Roman" w:hAnsi="Times New Roman" w:eastAsia="Times New Roman" w:cs="Times New Roman"/>
          <w:spacing w:val="12"/>
        </w:rPr>
        <w:t xml:space="preserve"> </w:t>
      </w:r>
      <w:r>
        <w:rPr>
          <w:spacing w:val="12"/>
        </w:rPr>
        <w:t>影响很小。</w:t>
      </w:r>
      <w:r>
        <w:rPr>
          <w:rFonts w:ascii="Times New Roman" w:hAnsi="Times New Roman" w:eastAsia="Times New Roman" w:cs="Times New Roman"/>
        </w:rPr>
        <w:t>Dispase</w:t>
      </w:r>
      <w:r>
        <w:rPr>
          <w:rFonts w:ascii="Times New Roman" w:hAnsi="Times New Roman" w:eastAsia="Times New Roman" w:cs="Times New Roman"/>
          <w:spacing w:val="16"/>
          <w:w w:val="101"/>
        </w:rPr>
        <w:t xml:space="preserve"> </w:t>
      </w:r>
      <w:r>
        <w:rPr>
          <w:spacing w:val="12"/>
        </w:rPr>
        <w:t>经稀释后其活性就大大降低，这</w:t>
      </w:r>
      <w:r>
        <w:t xml:space="preserve"> </w:t>
      </w:r>
      <w:r>
        <w:rPr>
          <w:spacing w:val="10"/>
        </w:rPr>
        <w:t>也方便了后续的培养。</w:t>
      </w:r>
      <w:r>
        <w:rPr>
          <w:rFonts w:ascii="Times New Roman" w:hAnsi="Times New Roman" w:eastAsia="Times New Roman" w:cs="Times New Roman"/>
        </w:rPr>
        <w:t>Dispase</w:t>
      </w:r>
      <w:r>
        <w:rPr>
          <w:rFonts w:ascii="Times New Roman" w:hAnsi="Times New Roman" w:eastAsia="Times New Roman" w:cs="Times New Roman"/>
          <w:spacing w:val="10"/>
        </w:rPr>
        <w:t xml:space="preserve"> </w:t>
      </w:r>
      <w:r>
        <w:rPr>
          <w:spacing w:val="10"/>
        </w:rPr>
        <w:t>甚至被加入细胞培养悬液中用于防止细胞团结。</w:t>
      </w:r>
    </w:p>
    <w:p w14:paraId="1C69D359">
      <w:pPr>
        <w:pStyle w:val="2"/>
        <w:spacing w:before="66" w:line="228" w:lineRule="auto"/>
      </w:pPr>
      <w:r>
        <w:rPr>
          <w:b/>
          <w:bCs/>
          <w:spacing w:val="3"/>
        </w:rPr>
        <w:t>优势</w:t>
      </w:r>
      <w:r>
        <w:rPr>
          <w:spacing w:val="3"/>
        </w:rPr>
        <w:t>：</w:t>
      </w:r>
    </w:p>
    <w:p w14:paraId="7595F385">
      <w:pPr>
        <w:pStyle w:val="2"/>
        <w:spacing w:before="221" w:line="228" w:lineRule="auto"/>
        <w:ind w:left="445"/>
      </w:pPr>
      <w:r>
        <w:rPr>
          <w:spacing w:val="8"/>
        </w:rPr>
        <w:t>该酶已被证实作用迅速有效又温和；</w:t>
      </w:r>
    </w:p>
    <w:p w14:paraId="566758AE">
      <w:pPr>
        <w:pStyle w:val="2"/>
        <w:spacing w:before="221" w:line="228" w:lineRule="auto"/>
        <w:ind w:left="443"/>
      </w:pPr>
      <w:r>
        <w:rPr>
          <w:spacing w:val="8"/>
        </w:rPr>
        <w:t>细胞能保持完整，细胞膜无损；</w:t>
      </w:r>
    </w:p>
    <w:p w14:paraId="50B3ED00">
      <w:pPr>
        <w:pStyle w:val="2"/>
        <w:spacing w:before="221" w:line="228" w:lineRule="auto"/>
        <w:ind w:left="445"/>
      </w:pPr>
      <w:r>
        <w:rPr>
          <w:spacing w:val="9"/>
        </w:rPr>
        <w:t>该酶非哺乳动物来源，不含支原体或动物病毒污</w:t>
      </w:r>
      <w:r>
        <w:rPr>
          <w:spacing w:val="8"/>
        </w:rPr>
        <w:t>染；</w:t>
      </w:r>
    </w:p>
    <w:p w14:paraId="5429BF4E">
      <w:pPr>
        <w:pStyle w:val="2"/>
        <w:spacing w:before="221" w:line="221" w:lineRule="auto"/>
        <w:ind w:left="441"/>
      </w:pPr>
      <w:r>
        <w:rPr>
          <w:spacing w:val="8"/>
        </w:rPr>
        <w:t>对于温度、</w:t>
      </w:r>
      <w:r>
        <w:rPr>
          <w:rFonts w:ascii="Times New Roman" w:hAnsi="Times New Roman" w:eastAsia="Times New Roman" w:cs="Times New Roman"/>
        </w:rPr>
        <w:t>pH</w:t>
      </w:r>
      <w:r>
        <w:rPr>
          <w:rFonts w:ascii="Times New Roman" w:hAnsi="Times New Roman" w:eastAsia="Times New Roman" w:cs="Times New Roman"/>
          <w:spacing w:val="33"/>
        </w:rPr>
        <w:t xml:space="preserve"> </w:t>
      </w:r>
      <w:r>
        <w:rPr>
          <w:spacing w:val="8"/>
        </w:rPr>
        <w:t>的改变、以及血清成分都很稳定；</w:t>
      </w:r>
    </w:p>
    <w:p w14:paraId="20BA442B">
      <w:pPr>
        <w:pStyle w:val="2"/>
        <w:spacing w:before="228" w:line="227" w:lineRule="auto"/>
        <w:ind w:left="443"/>
      </w:pPr>
      <w:r>
        <w:rPr>
          <w:spacing w:val="8"/>
        </w:rPr>
        <w:t>使用螯合剂或稀释就能简单灭活；</w:t>
      </w:r>
    </w:p>
    <w:p w14:paraId="39B4B010">
      <w:pPr>
        <w:pStyle w:val="2"/>
        <w:spacing w:before="222" w:line="228" w:lineRule="auto"/>
        <w:ind w:left="24"/>
      </w:pPr>
      <w:r>
        <w:rPr>
          <w:b/>
          <w:bCs/>
          <w:spacing w:val="5"/>
        </w:rPr>
        <w:t>酶活定义</w:t>
      </w:r>
      <w:r>
        <w:rPr>
          <w:spacing w:val="5"/>
        </w:rPr>
        <w:t>：</w:t>
      </w:r>
    </w:p>
    <w:p w14:paraId="4DBD7187">
      <w:pPr>
        <w:pStyle w:val="2"/>
        <w:spacing w:before="221" w:line="228" w:lineRule="auto"/>
        <w:ind w:right="34"/>
        <w:jc w:val="right"/>
      </w:pPr>
      <w:r>
        <w:rPr>
          <w:rFonts w:ascii="Times New Roman" w:hAnsi="Times New Roman" w:eastAsia="Times New Roman" w:cs="Times New Roman"/>
          <w:spacing w:val="11"/>
        </w:rPr>
        <w:t>1U</w:t>
      </w:r>
      <w:r>
        <w:rPr>
          <w:rFonts w:ascii="Times New Roman" w:hAnsi="Times New Roman" w:eastAsia="Times New Roman" w:cs="Times New Roman"/>
          <w:spacing w:val="35"/>
          <w:w w:val="101"/>
        </w:rPr>
        <w:t xml:space="preserve"> </w:t>
      </w:r>
      <w:r>
        <w:rPr>
          <w:spacing w:val="11"/>
        </w:rPr>
        <w:t>是在检测条件下</w:t>
      </w:r>
      <w:r>
        <w:rPr>
          <w:spacing w:val="-16"/>
        </w:rPr>
        <w:t xml:space="preserve"> </w:t>
      </w:r>
      <w:r>
        <w:rPr>
          <w:rFonts w:ascii="Times New Roman" w:hAnsi="Times New Roman" w:eastAsia="Times New Roman" w:cs="Times New Roman"/>
          <w:spacing w:val="11"/>
        </w:rPr>
        <w:t>1</w:t>
      </w:r>
      <w:r>
        <w:rPr>
          <w:rFonts w:ascii="Times New Roman" w:hAnsi="Times New Roman" w:eastAsia="Times New Roman" w:cs="Times New Roman"/>
          <w:spacing w:val="22"/>
          <w:w w:val="101"/>
        </w:rPr>
        <w:t xml:space="preserve"> </w:t>
      </w:r>
      <w:r>
        <w:rPr>
          <w:spacing w:val="11"/>
        </w:rPr>
        <w:t>分释放相当于</w:t>
      </w:r>
      <w:r>
        <w:rPr>
          <w:spacing w:val="-14"/>
        </w:rPr>
        <w:t xml:space="preserve"> </w:t>
      </w:r>
      <w:r>
        <w:rPr>
          <w:rFonts w:ascii="Times New Roman" w:hAnsi="Times New Roman" w:eastAsia="Times New Roman" w:cs="Times New Roman"/>
          <w:spacing w:val="11"/>
        </w:rPr>
        <w:t xml:space="preserve">1 </w:t>
      </w:r>
      <w:r>
        <w:rPr>
          <w:rFonts w:ascii="Times New Roman" w:hAnsi="Times New Roman" w:eastAsia="Times New Roman" w:cs="Times New Roman"/>
        </w:rPr>
        <w:t>umol</w:t>
      </w:r>
      <w:r>
        <w:rPr>
          <w:rFonts w:ascii="Times New Roman" w:hAnsi="Times New Roman" w:eastAsia="Times New Roman" w:cs="Times New Roman"/>
          <w:spacing w:val="23"/>
        </w:rPr>
        <w:t xml:space="preserve"> </w:t>
      </w:r>
      <w:r>
        <w:rPr>
          <w:spacing w:val="11"/>
        </w:rPr>
        <w:t>酪氨酸的</w:t>
      </w:r>
      <w:r>
        <w:rPr>
          <w:spacing w:val="-37"/>
        </w:rPr>
        <w:t xml:space="preserve"> </w:t>
      </w:r>
      <w:r>
        <w:rPr>
          <w:rFonts w:ascii="Times New Roman" w:hAnsi="Times New Roman" w:eastAsia="Times New Roman" w:cs="Times New Roman"/>
        </w:rPr>
        <w:t>Folin</w:t>
      </w:r>
      <w:r>
        <w:rPr>
          <w:rFonts w:ascii="Times New Roman" w:hAnsi="Times New Roman" w:eastAsia="Times New Roman" w:cs="Times New Roman"/>
          <w:spacing w:val="35"/>
        </w:rPr>
        <w:t xml:space="preserve"> </w:t>
      </w:r>
      <w:r>
        <w:rPr>
          <w:spacing w:val="11"/>
        </w:rPr>
        <w:t>阳性氨基酸或肽的酶量；</w:t>
      </w:r>
    </w:p>
    <w:p w14:paraId="57AAEE96">
      <w:pPr>
        <w:spacing w:line="228" w:lineRule="auto"/>
        <w:sectPr>
          <w:footerReference r:id="rId5" w:type="default"/>
          <w:pgSz w:w="11906" w:h="16839"/>
          <w:pgMar w:top="1431" w:right="1899" w:bottom="1439" w:left="1616" w:header="0" w:footer="1204" w:gutter="0"/>
          <w:cols w:space="720" w:num="1"/>
        </w:sectPr>
      </w:pPr>
    </w:p>
    <w:p w14:paraId="74DC3386">
      <w:pPr>
        <w:pStyle w:val="2"/>
        <w:spacing w:before="136" w:line="422" w:lineRule="auto"/>
        <w:ind w:left="57" w:right="16" w:hanging="40"/>
        <w:rPr>
          <w:rFonts w:ascii="Times New Roman" w:hAnsi="Times New Roman" w:eastAsia="Times New Roman" w:cs="Times New Roman"/>
        </w:rPr>
      </w:pPr>
    </w:p>
    <w:p w14:paraId="0F36620D">
      <w:pPr>
        <w:pStyle w:val="2"/>
        <w:spacing w:before="136" w:line="422" w:lineRule="auto"/>
        <w:ind w:right="16"/>
        <w:rPr>
          <w:rFonts w:ascii="Times New Roman" w:hAnsi="Times New Roman" w:eastAsia="Times New Roman" w:cs="Times New Roman"/>
        </w:rPr>
      </w:pPr>
    </w:p>
    <w:p w14:paraId="77C92346">
      <w:pPr>
        <w:pStyle w:val="2"/>
        <w:spacing w:before="136" w:line="422" w:lineRule="auto"/>
        <w:ind w:left="57" w:right="16" w:hanging="40"/>
      </w:pPr>
      <w:r>
        <w:rPr>
          <w:rFonts w:ascii="Times New Roman" w:hAnsi="Times New Roman" w:eastAsia="Times New Roman" w:cs="Times New Roman"/>
        </w:rPr>
        <w:t>DispaseII</w:t>
      </w:r>
      <w:r>
        <w:rPr>
          <w:spacing w:val="3"/>
        </w:rPr>
        <w:t>：≥</w:t>
      </w:r>
      <w:r>
        <w:rPr>
          <w:rFonts w:ascii="Times New Roman" w:hAnsi="Times New Roman" w:eastAsia="Times New Roman" w:cs="Times New Roman"/>
          <w:spacing w:val="3"/>
        </w:rPr>
        <w:t>0.8 U/</w:t>
      </w:r>
      <w:r>
        <w:rPr>
          <w:rFonts w:ascii="Times New Roman" w:hAnsi="Times New Roman" w:eastAsia="Times New Roman" w:cs="Times New Roman"/>
        </w:rPr>
        <w:t>mg</w:t>
      </w:r>
      <w:r>
        <w:rPr>
          <w:rFonts w:ascii="Times New Roman" w:hAnsi="Times New Roman" w:eastAsia="Times New Roman" w:cs="Times New Roman"/>
          <w:spacing w:val="3"/>
        </w:rPr>
        <w:t xml:space="preserve"> (37</w:t>
      </w:r>
      <w:r>
        <w:rPr>
          <w:spacing w:val="3"/>
        </w:rPr>
        <w:t>℃</w:t>
      </w:r>
      <w:r>
        <w:rPr>
          <w:spacing w:val="-60"/>
        </w:rPr>
        <w:t xml:space="preserve"> </w:t>
      </w:r>
      <w:r>
        <w:rPr>
          <w:spacing w:val="3"/>
        </w:rPr>
        <w:t>, 使用酪蛋白作为底物，</w:t>
      </w:r>
      <w:r>
        <w:rPr>
          <w:rFonts w:ascii="Times New Roman" w:hAnsi="Times New Roman" w:eastAsia="Times New Roman" w:cs="Times New Roman"/>
        </w:rPr>
        <w:t>pH</w:t>
      </w:r>
      <w:r>
        <w:rPr>
          <w:rFonts w:ascii="Times New Roman" w:hAnsi="Times New Roman" w:eastAsia="Times New Roman" w:cs="Times New Roman"/>
          <w:spacing w:val="3"/>
        </w:rPr>
        <w:t xml:space="preserve"> 7.5)</w:t>
      </w:r>
      <w:r>
        <w:rPr>
          <w:spacing w:val="3"/>
        </w:rPr>
        <w:t>；</w:t>
      </w:r>
      <w:r>
        <w:rPr>
          <w:rFonts w:ascii="Times New Roman" w:hAnsi="Times New Roman" w:eastAsia="Times New Roman" w:cs="Times New Roman"/>
          <w:spacing w:val="3"/>
        </w:rPr>
        <w:t>1</w:t>
      </w:r>
      <w:r>
        <w:rPr>
          <w:rFonts w:ascii="Times New Roman" w:hAnsi="Times New Roman" w:eastAsia="Times New Roman" w:cs="Times New Roman"/>
        </w:rPr>
        <w:t>U</w:t>
      </w:r>
      <w:r>
        <w:rPr>
          <w:rFonts w:ascii="Times New Roman" w:hAnsi="Times New Roman" w:eastAsia="Times New Roman" w:cs="Times New Roman"/>
          <w:spacing w:val="3"/>
        </w:rPr>
        <w:t xml:space="preserve"> </w:t>
      </w:r>
      <w:r>
        <w:rPr>
          <w:rFonts w:ascii="Times New Roman" w:hAnsi="Times New Roman" w:eastAsia="Times New Roman" w:cs="Times New Roman"/>
        </w:rPr>
        <w:t>Dispase</w:t>
      </w:r>
      <w:r>
        <w:rPr>
          <w:rFonts w:ascii="Times New Roman" w:hAnsi="Times New Roman" w:eastAsia="Times New Roman" w:cs="Times New Roman"/>
          <w:spacing w:val="3"/>
        </w:rPr>
        <w:t xml:space="preserve"> </w:t>
      </w:r>
      <w:r>
        <w:rPr>
          <w:rFonts w:ascii="Times New Roman" w:hAnsi="Times New Roman" w:eastAsia="Times New Roman" w:cs="Times New Roman"/>
        </w:rPr>
        <w:t>II</w:t>
      </w:r>
      <w:r>
        <w:rPr>
          <w:rFonts w:ascii="Times New Roman" w:hAnsi="Times New Roman" w:eastAsia="Times New Roman" w:cs="Times New Roman"/>
          <w:spacing w:val="13"/>
          <w:w w:val="101"/>
        </w:rPr>
        <w:t xml:space="preserve"> </w:t>
      </w:r>
      <w:r>
        <w:rPr>
          <w:spacing w:val="3"/>
        </w:rPr>
        <w:t>基本相当于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600U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5"/>
        </w:rPr>
        <w:t>日本单位的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</w:rPr>
        <w:t>Dispase</w:t>
      </w:r>
      <w:r>
        <w:rPr>
          <w:spacing w:val="5"/>
        </w:rPr>
        <w:t>。</w:t>
      </w:r>
    </w:p>
    <w:p w14:paraId="6910BBA6">
      <w:pPr>
        <w:pStyle w:val="2"/>
        <w:spacing w:before="22" w:line="221" w:lineRule="auto"/>
        <w:ind w:left="22"/>
      </w:pPr>
      <w:r>
        <w:rPr>
          <w:spacing w:val="7"/>
        </w:rPr>
        <w:t xml:space="preserve">抑制剂： </w:t>
      </w:r>
      <w:r>
        <w:rPr>
          <w:rFonts w:ascii="Times New Roman" w:hAnsi="Times New Roman" w:eastAsia="Times New Roman" w:cs="Times New Roman"/>
        </w:rPr>
        <w:t>EDTA</w:t>
      </w:r>
      <w:r>
        <w:rPr>
          <w:rFonts w:ascii="Times New Roman" w:hAnsi="Times New Roman" w:eastAsia="Times New Roman" w:cs="Times New Roman"/>
          <w:spacing w:val="-23"/>
        </w:rPr>
        <w:t xml:space="preserve"> </w:t>
      </w:r>
      <w:r>
        <w:rPr>
          <w:spacing w:val="7"/>
        </w:rPr>
        <w:t>、</w:t>
      </w:r>
      <w:r>
        <w:rPr>
          <w:rFonts w:ascii="Times New Roman" w:hAnsi="Times New Roman" w:eastAsia="Times New Roman" w:cs="Times New Roman"/>
        </w:rPr>
        <w:t>EGTA</w:t>
      </w:r>
      <w:r>
        <w:rPr>
          <w:rFonts w:ascii="Times New Roman" w:hAnsi="Times New Roman" w:eastAsia="Times New Roman" w:cs="Times New Roman"/>
          <w:spacing w:val="-29"/>
        </w:rPr>
        <w:t xml:space="preserve"> </w:t>
      </w:r>
      <w:r>
        <w:rPr>
          <w:spacing w:val="7"/>
        </w:rPr>
        <w:t>、</w:t>
      </w:r>
      <w:r>
        <w:rPr>
          <w:rFonts w:ascii="Times New Roman" w:hAnsi="Times New Roman" w:eastAsia="Times New Roman" w:cs="Times New Roman"/>
        </w:rPr>
        <w:t>Hg</w:t>
      </w:r>
      <w:r>
        <w:rPr>
          <w:rFonts w:ascii="Times New Roman" w:hAnsi="Times New Roman" w:eastAsia="Times New Roman" w:cs="Times New Roman"/>
          <w:spacing w:val="7"/>
        </w:rPr>
        <w:t>2+</w:t>
      </w:r>
      <w:r>
        <w:rPr>
          <w:rFonts w:ascii="Times New Roman" w:hAnsi="Times New Roman" w:eastAsia="Times New Roman" w:cs="Times New Roman"/>
          <w:spacing w:val="-25"/>
        </w:rPr>
        <w:t xml:space="preserve"> </w:t>
      </w:r>
      <w:r>
        <w:rPr>
          <w:spacing w:val="7"/>
        </w:rPr>
        <w:t>、其他重金属。血清不会抑制酶活性。</w:t>
      </w:r>
    </w:p>
    <w:p w14:paraId="63C75366">
      <w:pPr>
        <w:pStyle w:val="2"/>
        <w:spacing w:before="228" w:line="228" w:lineRule="auto"/>
        <w:ind w:left="23"/>
      </w:pPr>
      <w:r>
        <w:rPr>
          <w:b/>
          <w:bCs/>
          <w:spacing w:val="4"/>
        </w:rPr>
        <w:t>使用方法：</w:t>
      </w:r>
      <w:bookmarkStart w:id="0" w:name="_GoBack"/>
      <w:bookmarkEnd w:id="0"/>
    </w:p>
    <w:p w14:paraId="166799C7">
      <w:pPr>
        <w:pStyle w:val="2"/>
        <w:spacing w:before="221" w:line="424" w:lineRule="auto"/>
        <w:ind w:left="23" w:right="15" w:firstLine="315"/>
      </w:pPr>
      <w:r>
        <w:rPr>
          <w:spacing w:val="13"/>
        </w:rPr>
        <w:t>用</w:t>
      </w:r>
      <w:r>
        <w:rPr>
          <w:spacing w:val="-18"/>
        </w:rPr>
        <w:t xml:space="preserve"> </w:t>
      </w:r>
      <w:r>
        <w:rPr>
          <w:rFonts w:ascii="Times New Roman" w:hAnsi="Times New Roman" w:eastAsia="Times New Roman" w:cs="Times New Roman"/>
        </w:rPr>
        <w:t>Hepes</w:t>
      </w:r>
      <w:r>
        <w:rPr>
          <w:rFonts w:ascii="Times New Roman" w:hAnsi="Times New Roman" w:eastAsia="Times New Roman" w:cs="Times New Roman"/>
          <w:spacing w:val="13"/>
        </w:rPr>
        <w:t>-</w:t>
      </w:r>
      <w:r>
        <w:rPr>
          <w:rFonts w:ascii="Times New Roman" w:hAnsi="Times New Roman" w:eastAsia="Times New Roman" w:cs="Times New Roman"/>
        </w:rPr>
        <w:t>buffered</w:t>
      </w:r>
      <w:r>
        <w:rPr>
          <w:rFonts w:ascii="Times New Roman" w:hAnsi="Times New Roman" w:eastAsia="Times New Roman" w:cs="Times New Roman"/>
          <w:spacing w:val="21"/>
          <w:w w:val="101"/>
        </w:rPr>
        <w:t xml:space="preserve"> </w:t>
      </w:r>
      <w:r>
        <w:rPr>
          <w:rFonts w:ascii="Times New Roman" w:hAnsi="Times New Roman" w:eastAsia="Times New Roman" w:cs="Times New Roman"/>
        </w:rPr>
        <w:t>saline</w:t>
      </w:r>
      <w:r>
        <w:rPr>
          <w:rFonts w:ascii="Times New Roman" w:hAnsi="Times New Roman" w:eastAsia="Times New Roman" w:cs="Times New Roman"/>
          <w:spacing w:val="20"/>
        </w:rPr>
        <w:t xml:space="preserve"> </w:t>
      </w:r>
      <w:r>
        <w:rPr>
          <w:rFonts w:ascii="Times New Roman" w:hAnsi="Times New Roman" w:eastAsia="Times New Roman" w:cs="Times New Roman"/>
          <w:spacing w:val="13"/>
        </w:rPr>
        <w:t xml:space="preserve">(50 </w:t>
      </w:r>
      <w:r>
        <w:rPr>
          <w:rFonts w:ascii="Times New Roman" w:hAnsi="Times New Roman" w:eastAsia="Times New Roman" w:cs="Times New Roman"/>
        </w:rPr>
        <w:t>mM</w:t>
      </w:r>
      <w:r>
        <w:rPr>
          <w:rFonts w:ascii="Times New Roman" w:hAnsi="Times New Roman" w:eastAsia="Times New Roman" w:cs="Times New Roman"/>
          <w:spacing w:val="17"/>
        </w:rPr>
        <w:t xml:space="preserve"> </w:t>
      </w:r>
      <w:r>
        <w:rPr>
          <w:rFonts w:ascii="Times New Roman" w:hAnsi="Times New Roman" w:eastAsia="Times New Roman" w:cs="Times New Roman"/>
        </w:rPr>
        <w:t>Hepes</w:t>
      </w:r>
      <w:r>
        <w:rPr>
          <w:rFonts w:ascii="Times New Roman" w:hAnsi="Times New Roman" w:eastAsia="Times New Roman" w:cs="Times New Roman"/>
          <w:spacing w:val="13"/>
        </w:rPr>
        <w:t>/</w:t>
      </w:r>
      <w:r>
        <w:rPr>
          <w:rFonts w:ascii="Times New Roman" w:hAnsi="Times New Roman" w:eastAsia="Times New Roman" w:cs="Times New Roman"/>
        </w:rPr>
        <w:t>KOH</w:t>
      </w:r>
      <w:r>
        <w:rPr>
          <w:rFonts w:ascii="Times New Roman" w:hAnsi="Times New Roman" w:eastAsia="Times New Roman" w:cs="Times New Roman"/>
          <w:spacing w:val="13"/>
        </w:rPr>
        <w:t xml:space="preserve"> </w:t>
      </w:r>
      <w:r>
        <w:rPr>
          <w:rFonts w:ascii="Times New Roman" w:hAnsi="Times New Roman" w:eastAsia="Times New Roman" w:cs="Times New Roman"/>
        </w:rPr>
        <w:t>pH</w:t>
      </w:r>
      <w:r>
        <w:rPr>
          <w:rFonts w:ascii="Times New Roman" w:hAnsi="Times New Roman" w:eastAsia="Times New Roman" w:cs="Times New Roman"/>
          <w:spacing w:val="18"/>
        </w:rPr>
        <w:t xml:space="preserve"> </w:t>
      </w:r>
      <w:r>
        <w:rPr>
          <w:rFonts w:ascii="Times New Roman" w:hAnsi="Times New Roman" w:eastAsia="Times New Roman" w:cs="Times New Roman"/>
          <w:spacing w:val="13"/>
        </w:rPr>
        <w:t>7.4,</w:t>
      </w:r>
      <w:r>
        <w:rPr>
          <w:rFonts w:ascii="Times New Roman" w:hAnsi="Times New Roman" w:eastAsia="Times New Roman" w:cs="Times New Roman"/>
          <w:spacing w:val="35"/>
        </w:rPr>
        <w:t xml:space="preserve"> </w:t>
      </w:r>
      <w:r>
        <w:rPr>
          <w:rFonts w:ascii="Times New Roman" w:hAnsi="Times New Roman" w:eastAsia="Times New Roman" w:cs="Times New Roman"/>
          <w:spacing w:val="13"/>
        </w:rPr>
        <w:t xml:space="preserve">150 </w:t>
      </w:r>
      <w:r>
        <w:rPr>
          <w:rFonts w:ascii="Times New Roman" w:hAnsi="Times New Roman" w:eastAsia="Times New Roman" w:cs="Times New Roman"/>
        </w:rPr>
        <w:t>mM</w:t>
      </w:r>
      <w:r>
        <w:rPr>
          <w:rFonts w:ascii="Times New Roman" w:hAnsi="Times New Roman" w:eastAsia="Times New Roman" w:cs="Times New Roman"/>
          <w:spacing w:val="13"/>
        </w:rPr>
        <w:t xml:space="preserve"> </w:t>
      </w:r>
      <w:r>
        <w:rPr>
          <w:rFonts w:ascii="Times New Roman" w:hAnsi="Times New Roman" w:eastAsia="Times New Roman" w:cs="Times New Roman"/>
        </w:rPr>
        <w:t>NaCl</w:t>
      </w:r>
      <w:r>
        <w:rPr>
          <w:rFonts w:ascii="Times New Roman" w:hAnsi="Times New Roman" w:eastAsia="Times New Roman" w:cs="Times New Roman"/>
          <w:spacing w:val="13"/>
        </w:rPr>
        <w:t>)</w:t>
      </w:r>
      <w:r>
        <w:rPr>
          <w:rFonts w:hint="eastAsia" w:ascii="Times New Roman" w:hAnsi="Times New Roman" w:cs="Times New Roman"/>
          <w:spacing w:val="13"/>
          <w:lang w:val="en-US" w:eastAsia="zh-CN"/>
        </w:rPr>
        <w:t xml:space="preserve">, </w:t>
      </w:r>
      <w:r>
        <w:rPr>
          <w:spacing w:val="6"/>
        </w:rPr>
        <w:t>溶解</w:t>
      </w:r>
      <w:r>
        <w:rPr>
          <w:spacing w:val="-23"/>
        </w:rPr>
        <w:t xml:space="preserve"> </w:t>
      </w:r>
      <w:r>
        <w:rPr>
          <w:rFonts w:ascii="Times New Roman" w:hAnsi="Times New Roman" w:eastAsia="Times New Roman" w:cs="Times New Roman"/>
        </w:rPr>
        <w:t>Dispase</w:t>
      </w:r>
      <w:r>
        <w:rPr>
          <w:rFonts w:ascii="Times New Roman" w:hAnsi="Times New Roman" w:eastAsia="Times New Roman" w:cs="Times New Roman"/>
          <w:spacing w:val="6"/>
        </w:rPr>
        <w:t xml:space="preserve"> </w:t>
      </w:r>
      <w:r>
        <w:rPr>
          <w:spacing w:val="6"/>
        </w:rPr>
        <w:t>至</w:t>
      </w:r>
      <w:r>
        <w:rPr>
          <w:spacing w:val="-23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 xml:space="preserve">10 </w:t>
      </w:r>
      <w:r>
        <w:rPr>
          <w:rFonts w:ascii="Times New Roman" w:hAnsi="Times New Roman" w:eastAsia="Times New Roman" w:cs="Times New Roman"/>
        </w:rPr>
        <w:t>mg</w:t>
      </w:r>
      <w:r>
        <w:rPr>
          <w:rFonts w:ascii="Times New Roman" w:hAnsi="Times New Roman" w:eastAsia="Times New Roman" w:cs="Times New Roman"/>
          <w:spacing w:val="6"/>
        </w:rPr>
        <w:t>/</w:t>
      </w:r>
      <w:r>
        <w:rPr>
          <w:rFonts w:ascii="Times New Roman" w:hAnsi="Times New Roman" w:eastAsia="Times New Roman" w:cs="Times New Roman"/>
        </w:rPr>
        <w:t>ml</w:t>
      </w:r>
      <w:r>
        <w:rPr>
          <w:rFonts w:ascii="Times New Roman" w:hAnsi="Times New Roman" w:eastAsia="Times New Roman" w:cs="Times New Roman"/>
          <w:spacing w:val="-23"/>
        </w:rPr>
        <w:t xml:space="preserve"> </w:t>
      </w:r>
      <w:r>
        <w:rPr>
          <w:spacing w:val="6"/>
        </w:rPr>
        <w:t>，使用时用细胞培养液稀释到</w:t>
      </w:r>
      <w:r>
        <w:rPr>
          <w:spacing w:val="-37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0.6-2.4 U/</w:t>
      </w:r>
      <w:r>
        <w:rPr>
          <w:rFonts w:ascii="Times New Roman" w:hAnsi="Times New Roman" w:eastAsia="Times New Roman" w:cs="Times New Roman"/>
        </w:rPr>
        <w:t>ml</w:t>
      </w:r>
      <w:r>
        <w:rPr>
          <w:rFonts w:ascii="Times New Roman" w:hAnsi="Times New Roman" w:eastAsia="Times New Roman" w:cs="Times New Roman"/>
          <w:spacing w:val="-19"/>
        </w:rPr>
        <w:t xml:space="preserve"> </w:t>
      </w:r>
      <w:r>
        <w:rPr>
          <w:spacing w:val="6"/>
        </w:rPr>
        <w:t>。不推荐高于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2.4 U/</w:t>
      </w:r>
      <w:r>
        <w:rPr>
          <w:rFonts w:ascii="Times New Roman" w:hAnsi="Times New Roman" w:eastAsia="Times New Roman" w:cs="Times New Roman"/>
        </w:rPr>
        <w:t>ml</w:t>
      </w:r>
      <w:r>
        <w:rPr>
          <w:rFonts w:ascii="Times New Roman" w:hAnsi="Times New Roman" w:eastAsia="Times New Roman" w:cs="Times New Roman"/>
          <w:spacing w:val="30"/>
          <w:w w:val="101"/>
        </w:rPr>
        <w:t xml:space="preserve"> </w:t>
      </w:r>
      <w:r>
        <w:rPr>
          <w:spacing w:val="6"/>
        </w:rPr>
        <w:t>的 工作浓度，可用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 xml:space="preserve">0.22 </w:t>
      </w:r>
      <w:r>
        <w:rPr>
          <w:rFonts w:ascii="Times New Roman" w:hAnsi="Times New Roman" w:eastAsia="Times New Roman" w:cs="Times New Roman"/>
        </w:rPr>
        <w:t>um</w:t>
      </w:r>
      <w:r>
        <w:rPr>
          <w:rFonts w:ascii="Times New Roman" w:hAnsi="Times New Roman" w:eastAsia="Times New Roman" w:cs="Times New Roman"/>
          <w:spacing w:val="29"/>
          <w:w w:val="101"/>
        </w:rPr>
        <w:t xml:space="preserve"> </w:t>
      </w:r>
      <w:r>
        <w:rPr>
          <w:spacing w:val="6"/>
        </w:rPr>
        <w:t>的无菌滤膜过</w:t>
      </w:r>
      <w:r>
        <w:rPr>
          <w:spacing w:val="5"/>
        </w:rPr>
        <w:t>滤除菌。</w:t>
      </w:r>
    </w:p>
    <w:p w14:paraId="76335B08">
      <w:pPr>
        <w:pStyle w:val="2"/>
        <w:spacing w:before="25" w:line="228" w:lineRule="auto"/>
        <w:ind w:left="23"/>
      </w:pPr>
      <w:r>
        <w:rPr>
          <w:spacing w:val="5"/>
        </w:rPr>
        <w:t>保存方法：</w:t>
      </w:r>
    </w:p>
    <w:p w14:paraId="2DF15BEC">
      <w:pPr>
        <w:pStyle w:val="2"/>
        <w:spacing w:before="221" w:line="432" w:lineRule="auto"/>
        <w:ind w:left="23" w:right="15" w:firstLine="420"/>
      </w:pPr>
      <w:r>
        <w:rPr>
          <w:spacing w:val="9"/>
        </w:rPr>
        <w:t>保存在</w:t>
      </w:r>
      <w:r>
        <w:rPr>
          <w:rFonts w:ascii="Times New Roman" w:hAnsi="Times New Roman" w:eastAsia="Times New Roman" w:cs="Times New Roman"/>
          <w:spacing w:val="9"/>
        </w:rPr>
        <w:t>2-8</w:t>
      </w:r>
      <w:r>
        <w:rPr>
          <w:spacing w:val="9"/>
        </w:rPr>
        <w:t>℃；配成溶液后，在</w:t>
      </w:r>
      <w:r>
        <w:rPr>
          <w:spacing w:val="-40"/>
        </w:rPr>
        <w:t xml:space="preserve"> </w:t>
      </w:r>
      <w:r>
        <w:rPr>
          <w:rFonts w:ascii="Times New Roman" w:hAnsi="Times New Roman" w:eastAsia="Times New Roman" w:cs="Times New Roman"/>
          <w:spacing w:val="9"/>
        </w:rPr>
        <w:t>2-8</w:t>
      </w:r>
      <w:r>
        <w:rPr>
          <w:spacing w:val="9"/>
        </w:rPr>
        <w:t xml:space="preserve">℃ </w:t>
      </w:r>
      <w:r>
        <w:rPr>
          <w:rFonts w:ascii="Times New Roman" w:hAnsi="Times New Roman" w:eastAsia="Times New Roman" w:cs="Times New Roman"/>
          <w:spacing w:val="9"/>
        </w:rPr>
        <w:t xml:space="preserve">2 </w:t>
      </w:r>
      <w:r>
        <w:rPr>
          <w:spacing w:val="9"/>
        </w:rPr>
        <w:t>周内使用</w:t>
      </w:r>
      <w:r>
        <w:rPr>
          <w:spacing w:val="8"/>
        </w:rPr>
        <w:t>有效，在</w:t>
      </w:r>
      <w:r>
        <w:rPr>
          <w:rFonts w:ascii="Times New Roman" w:hAnsi="Times New Roman" w:eastAsia="Times New Roman" w:cs="Times New Roman"/>
          <w:spacing w:val="8"/>
        </w:rPr>
        <w:t>-20</w:t>
      </w:r>
      <w:r>
        <w:rPr>
          <w:rFonts w:ascii="Times New Roman" w:hAnsi="Times New Roman" w:eastAsia="Times New Roman" w:cs="Times New Roman"/>
          <w:spacing w:val="-22"/>
        </w:rPr>
        <w:t xml:space="preserve"> </w:t>
      </w:r>
      <w:r>
        <w:rPr>
          <w:rFonts w:hint="eastAsia" w:ascii="Times New Roman" w:hAnsi="Times New Roman" w:cs="Times New Roman"/>
          <w:spacing w:val="-22"/>
          <w:lang w:val="en-US" w:eastAsia="zh-CN"/>
        </w:rPr>
        <w:t xml:space="preserve">℃      </w:t>
      </w:r>
      <w:r>
        <w:rPr>
          <w:rFonts w:ascii="Times New Roman" w:hAnsi="Times New Roman" w:eastAsia="Times New Roman" w:cs="Times New Roman"/>
          <w:spacing w:val="8"/>
        </w:rPr>
        <w:t xml:space="preserve">2 </w:t>
      </w:r>
      <w:r>
        <w:rPr>
          <w:spacing w:val="8"/>
        </w:rPr>
        <w:t>个月内使用有效；不</w:t>
      </w:r>
      <w:r>
        <w:rPr>
          <w:spacing w:val="6"/>
        </w:rPr>
        <w:t>要反复冻融；</w:t>
      </w:r>
      <w:r>
        <w:rPr>
          <w:rFonts w:hint="eastAsia"/>
          <w:spacing w:val="6"/>
          <w:lang w:val="en-US" w:eastAsia="zh-CN"/>
        </w:rPr>
        <w:t>储存液用</w:t>
      </w:r>
      <w:r>
        <w:rPr>
          <w:rFonts w:ascii="Times New Roman" w:hAnsi="Times New Roman" w:eastAsia="Times New Roman" w:cs="Times New Roman"/>
        </w:rPr>
        <w:t>Hepes</w:t>
      </w:r>
      <w:r>
        <w:rPr>
          <w:rFonts w:ascii="Times New Roman" w:hAnsi="Times New Roman" w:eastAsia="Times New Roman" w:cs="Times New Roman"/>
          <w:spacing w:val="6"/>
        </w:rPr>
        <w:t xml:space="preserve"> </w:t>
      </w:r>
      <w:r>
        <w:rPr>
          <w:spacing w:val="6"/>
        </w:rPr>
        <w:t>盐缓冲液稀释后，</w:t>
      </w:r>
      <w:r>
        <w:rPr>
          <w:rFonts w:ascii="Times New Roman" w:hAnsi="Times New Roman" w:eastAsia="Times New Roman" w:cs="Times New Roman"/>
          <w:spacing w:val="6"/>
        </w:rPr>
        <w:t>2-8</w:t>
      </w:r>
      <w:r>
        <w:rPr>
          <w:spacing w:val="6"/>
        </w:rPr>
        <w:t>℃</w:t>
      </w:r>
      <w:r>
        <w:rPr>
          <w:spacing w:val="-75"/>
        </w:rPr>
        <w:t xml:space="preserve"> </w:t>
      </w:r>
      <w:r>
        <w:rPr>
          <w:spacing w:val="6"/>
        </w:rPr>
        <w:t>,</w:t>
      </w:r>
      <w:r>
        <w:rPr>
          <w:spacing w:val="62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3</w:t>
      </w:r>
      <w:r>
        <w:rPr>
          <w:rFonts w:ascii="Times New Roman" w:hAnsi="Times New Roman" w:eastAsia="Times New Roman" w:cs="Times New Roman"/>
          <w:spacing w:val="16"/>
        </w:rPr>
        <w:t xml:space="preserve"> </w:t>
      </w:r>
      <w:r>
        <w:rPr>
          <w:spacing w:val="6"/>
        </w:rPr>
        <w:t>天内</w:t>
      </w:r>
      <w:r>
        <w:rPr>
          <w:spacing w:val="5"/>
        </w:rPr>
        <w:t>使用有效。</w:t>
      </w:r>
    </w:p>
    <w:p w14:paraId="517F9BC2">
      <w:pPr>
        <w:pStyle w:val="2"/>
        <w:spacing w:before="1" w:line="228" w:lineRule="auto"/>
        <w:ind w:left="22"/>
      </w:pPr>
      <w:r>
        <w:rPr>
          <w:b/>
          <w:bCs/>
          <w:spacing w:val="4"/>
        </w:rPr>
        <w:t>注意事项：</w:t>
      </w:r>
    </w:p>
    <w:p w14:paraId="6EE9DF8E">
      <w:pPr>
        <w:pStyle w:val="2"/>
        <w:spacing w:before="220" w:line="227" w:lineRule="auto"/>
        <w:ind w:left="38"/>
      </w:pPr>
      <w:r>
        <w:rPr>
          <w:rFonts w:ascii="Times New Roman" w:hAnsi="Times New Roman" w:eastAsia="Times New Roman" w:cs="Times New Roman"/>
          <w:spacing w:val="8"/>
        </w:rPr>
        <w:t xml:space="preserve">1.  </w:t>
      </w:r>
      <w:r>
        <w:rPr>
          <w:spacing w:val="8"/>
        </w:rPr>
        <w:t>本产品仅供科研使用。请勿用于医药、临床诊断或治疗，食品及化妆品等用途。</w:t>
      </w:r>
    </w:p>
    <w:p w14:paraId="214BEFC6">
      <w:pPr>
        <w:pStyle w:val="2"/>
        <w:spacing w:before="222" w:line="228" w:lineRule="auto"/>
        <w:ind w:left="18"/>
      </w:pPr>
      <w:r>
        <w:rPr>
          <w:rFonts w:ascii="Times New Roman" w:hAnsi="Times New Roman" w:eastAsia="Times New Roman" w:cs="Times New Roman"/>
          <w:spacing w:val="9"/>
        </w:rPr>
        <w:t xml:space="preserve">2.  </w:t>
      </w:r>
      <w:r>
        <w:rPr>
          <w:spacing w:val="9"/>
        </w:rPr>
        <w:t>为了您的安全和健康，请穿好实验服并佩戴</w:t>
      </w:r>
      <w:r>
        <w:rPr>
          <w:spacing w:val="8"/>
        </w:rPr>
        <w:t>一次性手套和口罩操作。</w:t>
      </w:r>
    </w:p>
    <w:p w14:paraId="375E58B3">
      <w:pPr>
        <w:pStyle w:val="2"/>
        <w:spacing w:before="221" w:line="227" w:lineRule="auto"/>
        <w:ind w:left="22"/>
      </w:pPr>
      <w:r>
        <w:rPr>
          <w:rFonts w:ascii="Times New Roman" w:hAnsi="Times New Roman" w:eastAsia="Times New Roman" w:cs="Times New Roman"/>
          <w:spacing w:val="6"/>
        </w:rPr>
        <w:t xml:space="preserve">3.  </w:t>
      </w:r>
      <w:r>
        <w:rPr>
          <w:spacing w:val="6"/>
        </w:rPr>
        <w:t>产品信息仅供参考，如有疑问请致电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400-</w:t>
      </w:r>
      <w:r>
        <w:rPr>
          <w:rFonts w:hint="eastAsia" w:ascii="Times New Roman" w:hAnsi="Times New Roman" w:cs="Times New Roman"/>
          <w:spacing w:val="6"/>
          <w:lang w:val="en-US" w:eastAsia="zh-CN"/>
        </w:rPr>
        <w:t>60</w:t>
      </w:r>
      <w:r>
        <w:rPr>
          <w:rFonts w:ascii="Times New Roman" w:hAnsi="Times New Roman" w:eastAsia="Times New Roman" w:cs="Times New Roman"/>
          <w:spacing w:val="6"/>
        </w:rPr>
        <w:t>8-</w:t>
      </w:r>
      <w:r>
        <w:rPr>
          <w:rFonts w:hint="eastAsia" w:ascii="Times New Roman" w:hAnsi="Times New Roman" w:cs="Times New Roman"/>
          <w:spacing w:val="6"/>
          <w:lang w:val="en-US" w:eastAsia="zh-CN"/>
        </w:rPr>
        <w:t>0968</w:t>
      </w:r>
      <w:r>
        <w:rPr>
          <w:rFonts w:ascii="Times New Roman" w:hAnsi="Times New Roman" w:eastAsia="Times New Roman" w:cs="Times New Roman"/>
          <w:spacing w:val="20"/>
          <w:w w:val="101"/>
        </w:rPr>
        <w:t xml:space="preserve"> </w:t>
      </w:r>
      <w:r>
        <w:rPr>
          <w:spacing w:val="6"/>
        </w:rPr>
        <w:t>咨询。</w:t>
      </w:r>
    </w:p>
    <w:sectPr>
      <w:footerReference r:id="rId6" w:type="default"/>
      <w:pgSz w:w="11906" w:h="16839"/>
      <w:pgMar w:top="1431" w:right="1785" w:bottom="1439" w:left="1785" w:header="0" w:footer="120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Ya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E667B2">
    <w:pPr>
      <w:pStyle w:val="2"/>
      <w:spacing w:line="218" w:lineRule="auto"/>
      <w:ind w:left="3422"/>
      <w:rPr>
        <w:sz w:val="19"/>
        <w:szCs w:val="19"/>
      </w:rPr>
    </w:pPr>
    <w:r>
      <w:rPr>
        <w:spacing w:val="-4"/>
        <w:sz w:val="19"/>
        <w:szCs w:val="19"/>
      </w:rPr>
      <w:t>第</w:t>
    </w:r>
    <w:r>
      <w:rPr>
        <w:spacing w:val="26"/>
        <w:sz w:val="19"/>
        <w:szCs w:val="19"/>
      </w:rPr>
      <w:t xml:space="preserve"> </w:t>
    </w:r>
    <w:r>
      <w:rPr>
        <w:rFonts w:ascii="Calibri" w:hAnsi="Calibri" w:eastAsia="Calibri" w:cs="Calibri"/>
        <w:spacing w:val="-4"/>
        <w:sz w:val="19"/>
        <w:szCs w:val="19"/>
      </w:rPr>
      <w:t>1</w:t>
    </w:r>
    <w:r>
      <w:rPr>
        <w:rFonts w:ascii="Calibri" w:hAnsi="Calibri" w:eastAsia="Calibri" w:cs="Calibri"/>
        <w:spacing w:val="13"/>
        <w:w w:val="102"/>
        <w:sz w:val="19"/>
        <w:szCs w:val="19"/>
      </w:rPr>
      <w:t xml:space="preserve">  </w:t>
    </w:r>
    <w:r>
      <w:rPr>
        <w:spacing w:val="-4"/>
        <w:sz w:val="19"/>
        <w:szCs w:val="19"/>
      </w:rPr>
      <w:t>页</w:t>
    </w:r>
    <w:r>
      <w:rPr>
        <w:spacing w:val="13"/>
        <w:sz w:val="19"/>
        <w:szCs w:val="19"/>
      </w:rPr>
      <w:t xml:space="preserve"> </w:t>
    </w:r>
    <w:r>
      <w:rPr>
        <w:spacing w:val="-4"/>
        <w:sz w:val="19"/>
        <w:szCs w:val="19"/>
      </w:rPr>
      <w:t>共</w:t>
    </w:r>
    <w:r>
      <w:rPr>
        <w:spacing w:val="17"/>
        <w:sz w:val="19"/>
        <w:szCs w:val="19"/>
      </w:rPr>
      <w:t xml:space="preserve"> </w:t>
    </w:r>
    <w:r>
      <w:rPr>
        <w:rFonts w:ascii="Calibri" w:hAnsi="Calibri" w:eastAsia="Calibri" w:cs="Calibri"/>
        <w:spacing w:val="-4"/>
        <w:sz w:val="19"/>
        <w:szCs w:val="19"/>
      </w:rPr>
      <w:t>2</w:t>
    </w:r>
    <w:r>
      <w:rPr>
        <w:rFonts w:ascii="Calibri" w:hAnsi="Calibri" w:eastAsia="Calibri" w:cs="Calibri"/>
        <w:spacing w:val="13"/>
        <w:w w:val="102"/>
        <w:sz w:val="19"/>
        <w:szCs w:val="19"/>
      </w:rPr>
      <w:t xml:space="preserve">  </w:t>
    </w:r>
    <w:r>
      <w:rPr>
        <w:spacing w:val="-4"/>
        <w:sz w:val="19"/>
        <w:szCs w:val="19"/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A30CD9">
    <w:pPr>
      <w:pStyle w:val="2"/>
      <w:spacing w:line="218" w:lineRule="auto"/>
      <w:ind w:left="3422"/>
      <w:rPr>
        <w:sz w:val="19"/>
        <w:szCs w:val="19"/>
      </w:rPr>
    </w:pPr>
    <w:r>
      <w:rPr>
        <w:spacing w:val="-3"/>
        <w:sz w:val="19"/>
        <w:szCs w:val="19"/>
      </w:rPr>
      <w:t>第</w:t>
    </w:r>
    <w:r>
      <w:rPr>
        <w:spacing w:val="20"/>
        <w:sz w:val="19"/>
        <w:szCs w:val="19"/>
      </w:rPr>
      <w:t xml:space="preserve"> </w:t>
    </w:r>
    <w:r>
      <w:rPr>
        <w:rFonts w:ascii="Calibri" w:hAnsi="Calibri" w:eastAsia="Calibri" w:cs="Calibri"/>
        <w:spacing w:val="-3"/>
        <w:sz w:val="19"/>
        <w:szCs w:val="19"/>
      </w:rPr>
      <w:t>2</w:t>
    </w:r>
    <w:r>
      <w:rPr>
        <w:rFonts w:ascii="Calibri" w:hAnsi="Calibri" w:eastAsia="Calibri" w:cs="Calibri"/>
        <w:spacing w:val="13"/>
        <w:w w:val="102"/>
        <w:sz w:val="19"/>
        <w:szCs w:val="19"/>
      </w:rPr>
      <w:t xml:space="preserve">  </w:t>
    </w:r>
    <w:r>
      <w:rPr>
        <w:spacing w:val="-3"/>
        <w:sz w:val="19"/>
        <w:szCs w:val="19"/>
      </w:rPr>
      <w:t>页</w:t>
    </w:r>
    <w:r>
      <w:rPr>
        <w:spacing w:val="13"/>
        <w:sz w:val="19"/>
        <w:szCs w:val="19"/>
      </w:rPr>
      <w:t xml:space="preserve"> </w:t>
    </w:r>
    <w:r>
      <w:rPr>
        <w:spacing w:val="-3"/>
        <w:sz w:val="19"/>
        <w:szCs w:val="19"/>
      </w:rPr>
      <w:t>共</w:t>
    </w:r>
    <w:r>
      <w:rPr>
        <w:spacing w:val="17"/>
        <w:sz w:val="19"/>
        <w:szCs w:val="19"/>
      </w:rPr>
      <w:t xml:space="preserve"> </w:t>
    </w:r>
    <w:r>
      <w:rPr>
        <w:rFonts w:ascii="Calibri" w:hAnsi="Calibri" w:eastAsia="Calibri" w:cs="Calibri"/>
        <w:spacing w:val="-3"/>
        <w:sz w:val="19"/>
        <w:szCs w:val="19"/>
      </w:rPr>
      <w:t>2</w:t>
    </w:r>
    <w:r>
      <w:rPr>
        <w:rFonts w:ascii="Calibri" w:hAnsi="Calibri" w:eastAsia="Calibri" w:cs="Calibri"/>
        <w:spacing w:val="13"/>
        <w:w w:val="102"/>
        <w:sz w:val="19"/>
        <w:szCs w:val="19"/>
      </w:rPr>
      <w:t xml:space="preserve">  </w:t>
    </w:r>
    <w:r>
      <w:rPr>
        <w:spacing w:val="-3"/>
        <w:sz w:val="19"/>
        <w:szCs w:val="19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3E9143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815</Words>
  <Characters>1084</Characters>
  <TotalTime>18</TotalTime>
  <ScaleCrop>false</ScaleCrop>
  <LinksUpToDate>false</LinksUpToDate>
  <CharactersWithSpaces>1183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2024-05-29T17:04:00Z</dcterms:created>
  <dc:creator>KLB</dc:creator>
  <cp:lastModifiedBy>赵辉</cp:lastModifiedBy>
  <cp:lastPrinted>2025-05-19T01:18:21Z</cp:lastPrinted>
  <dcterms:modified xsi:type="dcterms:W3CDTF">2025-05-19T01:19:14Z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2025-05-19T09:00:06Z</vt:filetime>
  </property>
  <property fmtid="{D5CDD505-2E9C-101B-9397-08002B2CF9AE}" pid="4" name="KSOTemplateDocerSaveRecord">
    <vt:lpwstr>eyJoZGlkIjoiNDMzNDBjYmYwOTU0NGI1YTYxNTMzNzI4ZGQ0M2QwZDAiLCJ1c2VySWQiOiIyODY5MDcxNTkifQ==</vt:lpwstr>
  </property>
  <property fmtid="{D5CDD505-2E9C-101B-9397-08002B2CF9AE}" pid="5" name="KSOProductBuildVer">
    <vt:lpwstr>2052-12.1.0.21171</vt:lpwstr>
  </property>
  <property fmtid="{D5CDD505-2E9C-101B-9397-08002B2CF9AE}" pid="6" name="ICV">
    <vt:lpwstr>E017A3545176416C98C4ABFB541CB02B_13</vt:lpwstr>
  </property>
</Properties>
</file>