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FBD836">
      <w:pPr>
        <w:pStyle w:val="2"/>
        <w:bidi w:val="0"/>
        <w:jc w:val="center"/>
        <w:rPr>
          <w:rFonts w:hint="eastAsia" w:asciiTheme="majorEastAsia" w:hAnsiTheme="majorEastAsia" w:eastAsiaTheme="majorEastAsia" w:cstheme="majorEastAsia"/>
          <w:color w:val="auto"/>
          <w:shd w:val="clear" w:color="auto" w:fill="auto"/>
        </w:rPr>
      </w:pP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color w:val="auto"/>
          <w:shd w:val="clear" w:color="auto" w:fill="auto"/>
        </w:rPr>
        <w:t>EZ ECL Flyg化学发光液（飞克级）</w:t>
      </w:r>
    </w:p>
    <w:p w14:paraId="5079FB7D">
      <w:pP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  <w:t xml:space="preserve">产品描述 </w:t>
      </w:r>
    </w:p>
    <w:p w14:paraId="19C9F9A2">
      <w:pP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  <w:t xml:space="preserve">EZ ECL Flyg化学发光液是一款目前最高灵敏度的增强型化学发光(ECL)HRP底物，可帮助用户在免疫印迹分析过程中实现低飞克级的蛋白检测(&lt;1×10-13、-14g)，极其节省抗体。West Femo底物可为使用辣根过氧化物酶(HRP)偶联物的免疫印迹实验提供明亮的信号和飞克级检测灵敏度。该ECL底物能够兼容各种膜、封闭液和宽范围抗体稀释液，以出色性能、通用性和高性价比，满足用户的免疫印迹应用需求。 </w:t>
      </w:r>
    </w:p>
    <w:p w14:paraId="547778F5">
      <w:pP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  <w:t>West Femo底物的特点：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  <w:t xml:space="preserve"> </w:t>
      </w:r>
    </w:p>
    <w:p w14:paraId="71F363F2">
      <w:pP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  <w:t>• 灵敏度高：检测硝化纤维素膜或PVDF膜上飞克级的蛋白条带。</w:t>
      </w:r>
    </w:p>
    <w:p w14:paraId="03B8D17C">
      <w:pP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  <w:t xml:space="preserve">• 长信号持续时间：在条件优化情况下，经底物孵育的印迹条带能持续输出6~8 h的可检测光信号。 </w:t>
      </w:r>
    </w:p>
    <w:p w14:paraId="0B8DA5FC">
      <w:pP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  <w:t>建议稀释浓度：</w:t>
      </w:r>
    </w:p>
    <w:p w14:paraId="055B8927">
      <w:pP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  <w:t xml:space="preserve">• 一抗浓度：建议以1 µg/mL储存液稀释1:5,000至1:100,000倍 </w:t>
      </w:r>
    </w:p>
    <w:p w14:paraId="0ACB0079">
      <w:pP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  <w:t xml:space="preserve">• 二抗浓度：建议以1 µg/mL储存液稀释1:100,000至1:500,000倍 </w:t>
      </w:r>
    </w:p>
    <w:p w14:paraId="2A1C7BB1">
      <w:pP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  <w:t>运输与保存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  <w:t xml:space="preserve"> </w:t>
      </w:r>
    </w:p>
    <w:p w14:paraId="15BBF159">
      <w:pP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  <w:t>蓝冰运输。4℃避光干燥保存，有效期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  <w:lang w:val="en-US" w:eastAsia="zh-CN"/>
        </w:rPr>
        <w:t>24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  <w:t xml:space="preserve">个月。 </w:t>
      </w:r>
    </w:p>
    <w:p w14:paraId="1B5B6D30">
      <w:pP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  <w:t xml:space="preserve">使用方法 </w:t>
      </w:r>
    </w:p>
    <w:p w14:paraId="7B477180">
      <w:pPr>
        <w:numPr>
          <w:ilvl w:val="0"/>
          <w:numId w:val="1"/>
        </w:numP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  <w:t>取出印记膜，加入合适的封闭液在温室下孵育20~60 min，同时振荡，以封闭膜上非特异性蛋白结合位点。</w:t>
      </w:r>
    </w:p>
    <w:p w14:paraId="58743495">
      <w:pPr>
        <w:numPr>
          <w:ilvl w:val="0"/>
          <w:numId w:val="1"/>
        </w:numPr>
        <w:ind w:left="0" w:leftChars="0" w:firstLine="0" w:firstLineChars="0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  <w:t xml:space="preserve">将膜从封闭液中取出，与一抗工作液在温室孵育1 h，同时振荡；或在28℃ 孵育过夜，不振荡。 </w:t>
      </w:r>
    </w:p>
    <w:p w14:paraId="5275E7D4">
      <w:pPr>
        <w:numPr>
          <w:ilvl w:val="0"/>
          <w:numId w:val="1"/>
        </w:numPr>
        <w:ind w:left="0" w:leftChars="0" w:firstLine="0" w:firstLineChars="0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  <w:t xml:space="preserve">将足量的洗涤缓冲液加至膜上，保证缓冲液将膜完全覆盖。振荡孵育≥5 min，更换洗涤缓冲液并重复该步骤4~6次。增加洗涤缓冲液体积，洗涤次数和洗涤时间有助于降低背景信号。【注】：①孵育前，膜在洗涤缓冲液中的短暂淋洗会提高洗涤效率。②按前文建议的HRP标记二抗稀释度非常重要的。 </w:t>
      </w:r>
    </w:p>
    <w:p w14:paraId="22414BEB">
      <w:pPr>
        <w:numPr>
          <w:ilvl w:val="0"/>
          <w:numId w:val="1"/>
        </w:numPr>
        <w:ind w:left="0" w:leftChars="0" w:firstLine="0" w:firstLineChars="0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  <w:t>将HRP标记的二抗工作液与膜在温室孵育1 h，同时振荡。</w:t>
      </w:r>
    </w:p>
    <w:p w14:paraId="24D18F34">
      <w:pPr>
        <w:numPr>
          <w:ilvl w:val="0"/>
          <w:numId w:val="1"/>
        </w:numPr>
        <w:ind w:left="0" w:leftChars="0" w:firstLine="0" w:firstLineChars="0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  <w:t xml:space="preserve">重复步骤3，以除去未结合的HRP标记二抗。【注】：膜与HRP标记二抗孵育后必须进行彻底洗涤。 </w:t>
      </w:r>
    </w:p>
    <w:p w14:paraId="45D5FE45">
      <w:pPr>
        <w:numPr>
          <w:ilvl w:val="0"/>
          <w:numId w:val="1"/>
        </w:numPr>
        <w:ind w:left="0" w:leftChars="0" w:firstLine="0" w:firstLineChars="0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  <w:t xml:space="preserve">将A溶液与B液等比例混合，制备成工作液。每cm2膜使用0.01~0.1 mL工作液，工作液可以在温室下稳定8 h。【注】：暴露于日光或其他强光下可能损害工作液，为获得最佳结果，请将此工作液保存在琥珀色瓶中光；实验室的常见照明不会损害工作液。 </w:t>
      </w:r>
    </w:p>
    <w:p w14:paraId="010DB52E">
      <w:pPr>
        <w:numPr>
          <w:ilvl w:val="0"/>
          <w:numId w:val="1"/>
        </w:numPr>
        <w:ind w:left="0" w:leftChars="0" w:firstLine="0" w:firstLineChars="0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  <w:t>将印记膜在工作液中孵育5 min。从工作液中取出印记膜，并置于一个塑料片或清洁的塑料纸（膜）中，用一张吸水纸吸除多余的液体，并从印记和塑料纸之间小心地压出气泡。</w:t>
      </w:r>
    </w:p>
    <w:p w14:paraId="0A6C9C75">
      <w:pPr>
        <w:numPr>
          <w:ilvl w:val="0"/>
          <w:numId w:val="1"/>
        </w:numPr>
        <w:ind w:left="0" w:leftChars="0" w:firstLine="0" w:firstLineChars="0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  <w:t xml:space="preserve">将包在塑料纸（膜）中的印记膜置于胶片暗盒中，蛋白质面朝上，除适用于胶片曝光的灯（如红色安全灯）之外，关闭所有的灯。【注】：①胶片必须在曝光期间保持干燥；②确保将多余的底物从膜和塑料纸上完全去除；③在整个胶片处理期间，使用手套。 </w:t>
      </w:r>
    </w:p>
    <w:p w14:paraId="4C6C4FE9">
      <w:pPr>
        <w:widowControl w:val="0"/>
        <w:numPr>
          <w:numId w:val="0"/>
        </w:numPr>
        <w:jc w:val="both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</w:pPr>
    </w:p>
    <w:p w14:paraId="19D45913">
      <w:pPr>
        <w:widowControl w:val="0"/>
        <w:numPr>
          <w:numId w:val="0"/>
        </w:numPr>
        <w:jc w:val="both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</w:pPr>
    </w:p>
    <w:p w14:paraId="605ACC0F">
      <w:pPr>
        <w:widowControl w:val="0"/>
        <w:numPr>
          <w:numId w:val="0"/>
        </w:numPr>
        <w:jc w:val="both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</w:pPr>
    </w:p>
    <w:p w14:paraId="5A5CE774">
      <w:pPr>
        <w:widowControl w:val="0"/>
        <w:numPr>
          <w:numId w:val="0"/>
        </w:numPr>
        <w:jc w:val="both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</w:pPr>
    </w:p>
    <w:p w14:paraId="151CCE51">
      <w:pPr>
        <w:widowControl w:val="0"/>
        <w:numPr>
          <w:numId w:val="0"/>
        </w:numPr>
        <w:jc w:val="both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</w:pPr>
    </w:p>
    <w:p w14:paraId="23BD9A72">
      <w:pPr>
        <w:numPr>
          <w:ilvl w:val="0"/>
          <w:numId w:val="1"/>
        </w:numPr>
        <w:ind w:left="0" w:leftChars="0" w:firstLine="0" w:firstLineChars="0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  <w:t xml:space="preserve">将X光胶片置于膜的上面。建议第一次曝光60 s。之后可调整曝光时间以达到最佳结果。化学发光反应在底物孵育后的前5~30 min期间是最强烈的。这一反应可以持续几个小时，但强度会随时间下降，如有底物孵育后较长时间后曝光，曝光时间可能需要延长以获得较强信号。如果使用磷光存储成像设备（如Bio-Rad的分子成像仪系统）或CCD照相机可能需要较长的曝光时间。【注】：胶片与膜之间的任何移动可能在胶片上造成人为的非特异信号。 10. 使用合适的显影剂和定影剂对胶片进行显影。如果信号太强，则缩短曝光时间或将印记膜进行剥离并降低抗体浓度重新检测。 </w:t>
      </w:r>
    </w:p>
    <w:p w14:paraId="14F30D2B">
      <w:pPr>
        <w:numPr>
          <w:numId w:val="0"/>
        </w:numPr>
        <w:ind w:leftChars="0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  <w:t>注意事项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  <w:t xml:space="preserve"> </w:t>
      </w:r>
    </w:p>
    <w:p w14:paraId="324F3FB6">
      <w:pPr>
        <w:numPr>
          <w:ilvl w:val="0"/>
          <w:numId w:val="2"/>
        </w:numPr>
        <w:ind w:leftChars="0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  <w:t xml:space="preserve">本产品仅限于科学实验研究使用，不得用于临床诊断、治疗等领域。 </w:t>
      </w:r>
    </w:p>
    <w:p w14:paraId="0BA1E50C">
      <w:pPr>
        <w:numPr>
          <w:numId w:val="0"/>
        </w:numPr>
        <w:rPr>
          <w:rFonts w:hint="eastAsia" w:asciiTheme="majorEastAsia" w:hAnsiTheme="majorEastAsia" w:eastAsiaTheme="majorEastAsia" w:cstheme="majorEastAsia"/>
          <w:color w:val="auto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  <w:t xml:space="preserve">2. 为获得最佳效果，必须优化该系统的全部组分，包括样品量、一抗和二抗浓度以及膜和封闭试剂的类型。 </w:t>
      </w:r>
    </w:p>
    <w:p w14:paraId="7D99BC01">
      <w:pPr>
        <w:numPr>
          <w:numId w:val="0"/>
        </w:numPr>
        <w:rPr>
          <w:rFonts w:hint="eastAsia" w:asciiTheme="majorEastAsia" w:hAnsiTheme="majorEastAsia" w:eastAsiaTheme="majorEastAsia" w:cstheme="majorEastAsia"/>
          <w:color w:val="auto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  <w:t xml:space="preserve">3. 使用本产品比使用沉淀比色HRP底物检测所需的抗体浓度低。为优化抗体浓度，请进行一次系统的点印迹分析。 </w:t>
      </w:r>
    </w:p>
    <w:p w14:paraId="1AB7D09C">
      <w:pPr>
        <w:numPr>
          <w:numId w:val="0"/>
        </w:numP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  <w:t xml:space="preserve">4. 没有一种封闭试剂对所有系统而言都是最佳的，所以为每一个免疫印迹检测系统找到最合适的封闭缓冲液非常必需。封闭试剂有可能与抗体产生交叉反应，导致出现非特异性信号。封闭缓冲液同时也会影响系统的灵敏性。当从一种底物转换为另一种底物时，有时会出现信号衰减或背景增加的现象，原因可能是封闭缓冲液不适合新的检测系统。 </w:t>
      </w:r>
    </w:p>
    <w:p w14:paraId="02F813FC">
      <w:pPr>
        <w:numPr>
          <w:numId w:val="0"/>
        </w:numP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  <w:t xml:space="preserve">5. 使用亲和素/生物素检测系统时，避免使用牛奶作为封闭试剂，因为牛奶中含有不定量的内源性生物素，会导致高背景信号。 </w:t>
      </w:r>
    </w:p>
    <w:p w14:paraId="1A4CB019">
      <w:pPr>
        <w:numPr>
          <w:numId w:val="0"/>
        </w:numP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  <w:t xml:space="preserve">6. 保证洗涤缓冲液、封闭缓冲液、抗体溶液和底物工作液的使用体积，以确保在整个实验过程中印迹膜完全被液体覆盖，避免膜变干。增大封闭缓冲液及洗涤缓冲液的使用量可以降低非特异性的信号。 </w:t>
      </w:r>
    </w:p>
    <w:p w14:paraId="6EF81C67">
      <w:pPr>
        <w:numPr>
          <w:numId w:val="0"/>
        </w:numP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  <w:t xml:space="preserve">7. 为获得最佳效果，在孵育步骤请使用摇床。 </w:t>
      </w:r>
    </w:p>
    <w:p w14:paraId="44E34A86">
      <w:pPr>
        <w:numPr>
          <w:numId w:val="0"/>
        </w:numP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  <w:t xml:space="preserve">8. 将Tween20(终浓度0.05~0.1%)加入封闭缓冲液和稀释的抗体溶液，以降低非特异信号。使用高品质的产品，如去污剂。它保存在安瓿中，过氧化物和其他杂质含量很低。 </w:t>
      </w:r>
    </w:p>
    <w:p w14:paraId="4ACF62E7">
      <w:pPr>
        <w:numPr>
          <w:numId w:val="0"/>
        </w:numP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  <w:t xml:space="preserve">9. 不要使用叠*钠作为缓冲液的防腐剂。叠*钠是HRP的抑制。 </w:t>
      </w:r>
    </w:p>
    <w:p w14:paraId="1525988F">
      <w:pPr>
        <w:numPr>
          <w:numId w:val="0"/>
        </w:numP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  <w:t xml:space="preserve">10. 避免手与膜直接接触，实验过程应戴手套或使用干净的镊子。 </w:t>
      </w:r>
    </w:p>
    <w:p w14:paraId="193B3E11">
      <w:pPr>
        <w:numPr>
          <w:numId w:val="0"/>
        </w:numP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  <w:t xml:space="preserve">11. 所有设备必须清洁且不沾染外来物质。金属器械（如剪刀）不得具有可见的锈迹。锈迹可能导致斑点形成和高背景。 </w:t>
      </w:r>
    </w:p>
    <w:p w14:paraId="2F7F7CCC">
      <w:pPr>
        <w:numPr>
          <w:numId w:val="0"/>
        </w:numPr>
        <w:rPr>
          <w:rFonts w:hint="eastAsia" w:asciiTheme="majorEastAsia" w:hAnsiTheme="majorEastAsia" w:eastAsiaTheme="majorEastAsia" w:cstheme="majorEastAsia"/>
          <w:color w:val="auto"/>
          <w:shd w:val="clear" w:color="auto" w:fill="auto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sz w:val="21"/>
          <w:szCs w:val="21"/>
          <w:shd w:val="clear" w:color="auto" w:fill="auto"/>
        </w:rPr>
        <w:t>12. 底物工作液在室温下可稳定8 h。日光或任何其他强光下可能损害底物，为获得最佳结果，将底物工作液保存在琥珀色瓶中，并避免长期暴漏在任何强光下，短时间暴漏于实验室常规照明不会损害该工作液。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  <w:font w:name="KSOFB4AB0A6B">
    <w:panose1 w:val="020B0704020202020204"/>
    <w:charset w:val="00"/>
    <w:family w:val="auto"/>
    <w:pitch w:val="default"/>
    <w:sig w:usb0="00000001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44F7EC"/>
    <w:multiLevelType w:val="singleLevel"/>
    <w:tmpl w:val="C844F7EC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DDA72FEB"/>
    <w:multiLevelType w:val="singleLevel"/>
    <w:tmpl w:val="DDA72FEB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2B598C"/>
    <w:rsid w:val="443A4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5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1 Char"/>
    <w:link w:val="2"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24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2026-07-23T09:05:32Z</dcterms:created>
  <dc:creator>ADMIN</dc:creator>
  <cp:lastModifiedBy>赵辉</cp:lastModifiedBy>
  <cp:lastPrinted>2026-07-23T09:14:39Z</cp:lastPrinted>
  <dcterms:modified xsi:type="dcterms:W3CDTF">2026-07-23T09:30:14Z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eyJoZGlkIjoiMmY0Mzk4ZDY4OTk2MjMzMDdiNDdlMjliOGVkMTlkNzgiLCJ1c2VySWQiOiIyODY5MDcxNTkifQ==</vt:lpwstr>
  </property>
  <property fmtid="{D5CDD505-2E9C-101B-9397-08002B2CF9AE}" pid="4" name="ICV">
    <vt:lpwstr>61EBF28FF6D04528A506D866E1B61C87_12</vt:lpwstr>
  </property>
</Properties>
</file>