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1" w:firstLineChars="500"/>
        <w:rPr>
          <w:rStyle w:val="5"/>
          <w:rFonts w:ascii="微软雅黑" w:hAnsi="微软雅黑" w:eastAsia="微软雅黑" w:cs="微软雅黑"/>
          <w:b/>
          <w:bCs/>
          <w:i w:val="0"/>
          <w:iCs w:val="0"/>
          <w:caps w:val="0"/>
          <w:color w:val="404040"/>
          <w:spacing w:val="0"/>
          <w:sz w:val="36"/>
          <w:szCs w:val="36"/>
          <w:bdr w:val="none" w:color="auto" w:sz="0" w:space="0"/>
          <w:shd w:val="clear" w:fill="FFFFFF"/>
        </w:rPr>
      </w:pPr>
      <w:bookmarkStart w:id="0" w:name="_GoBack"/>
      <w:bookmarkEnd w:id="0"/>
    </w:p>
    <w:p>
      <w:pPr>
        <w:ind w:firstLine="1801" w:firstLineChars="500"/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04040"/>
          <w:spacing w:val="0"/>
          <w:sz w:val="36"/>
          <w:szCs w:val="36"/>
          <w:bdr w:val="none" w:color="auto" w:sz="0" w:space="0"/>
          <w:shd w:val="clear" w:fill="FFFFFF"/>
        </w:rPr>
      </w:pPr>
      <w:r>
        <w:rPr>
          <w:rStyle w:val="5"/>
          <w:rFonts w:ascii="微软雅黑" w:hAnsi="微软雅黑" w:eastAsia="微软雅黑" w:cs="微软雅黑"/>
          <w:b/>
          <w:bCs/>
          <w:i w:val="0"/>
          <w:iCs w:val="0"/>
          <w:caps w:val="0"/>
          <w:color w:val="404040"/>
          <w:spacing w:val="0"/>
          <w:sz w:val="36"/>
          <w:szCs w:val="36"/>
          <w:bdr w:val="none" w:color="auto" w:sz="0" w:space="0"/>
          <w:shd w:val="clear" w:fill="FFFFFF"/>
        </w:rPr>
        <w:t>SafeGreen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04040"/>
          <w:spacing w:val="0"/>
          <w:sz w:val="36"/>
          <w:szCs w:val="36"/>
          <w:bdr w:val="none" w:color="auto" w:sz="0" w:space="0"/>
          <w:shd w:val="clear" w:fill="FFFFFF"/>
        </w:rPr>
        <w:t>核酸染料（10,000× 水溶液）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shd w:val="clear" w:fill="FFFFFF"/>
          <w:lang w:val="en-US" w:eastAsia="zh-CN"/>
        </w:rPr>
      </w:pPr>
    </w:p>
    <w:p>
      <w:pPr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8000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8000"/>
          <w:spacing w:val="0"/>
          <w:sz w:val="21"/>
          <w:szCs w:val="21"/>
          <w:bdr w:val="none" w:color="auto" w:sz="0" w:space="0"/>
          <w:shd w:val="clear" w:fill="FFFFFF"/>
        </w:rPr>
        <w:t>产品特点：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36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相对安全：油性大分子特点使其不易穿透细胞膜进入细胞内，使用相对安全，实验显示在工作浓度(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  <w:lang w:val="en-US" w:eastAsia="zh-CN"/>
        </w:rPr>
        <w:t>凝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胶染色浓度)下没有发现诱变性，可以代替致癌物溴化乙锭EB作为各种核酸电泳的染色剂。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leftChars="0" w:right="0" w:rightChars="0" w:firstLine="36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灵敏度高：适用于各种大小片段的电泳染色，对核酸迁移的影响较小。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leftChars="0" w:right="0" w:rightChars="0" w:firstLine="36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稳定性高：适用于使用微波或其它加热方法制备琼脂糖凝胶；室温下在酸或碱缓冲液中极其稳定，耐光性强。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36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4.信噪比高：样品荧光信号强，背景信号低。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36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5.操作简单：在预制胶和电泳过程中不降解,可直接用可见光凝胶透射仪观察。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36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6.适用范围：可选择电泳前染色（胶染法）或电泳后染色（泡染法）；适用琼脂糖凝胶或聚丙烯酰胺凝胶电泳；可用于dsDNA、ssDNA 或RNA 染色。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36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7.仪器兼容：适用于使用254nm 激发的紫外凝胶成像系统或蓝色可见光激发的凝胶观察装置。它和SYBR Green I的光谱相似，灵敏度相当，但更加稳定。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 w:firstLineChars="200"/>
        <w:rPr>
          <w:rStyle w:val="5"/>
          <w:rFonts w:ascii="PingFang SC Regular" w:hAnsi="PingFang SC Regular" w:eastAsia="PingFang SC Regular" w:cs="PingFang SC Regular"/>
          <w:b/>
          <w:bCs/>
          <w:i w:val="0"/>
          <w:iCs w:val="0"/>
          <w:caps w:val="0"/>
          <w:color w:val="008000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Style w:val="5"/>
          <w:rFonts w:ascii="PingFang SC Regular" w:hAnsi="PingFang SC Regular" w:eastAsia="PingFang SC Regular" w:cs="PingFang SC Regular"/>
          <w:b/>
          <w:bCs/>
          <w:i w:val="0"/>
          <w:iCs w:val="0"/>
          <w:caps w:val="0"/>
          <w:color w:val="008000"/>
          <w:spacing w:val="0"/>
          <w:sz w:val="21"/>
          <w:szCs w:val="21"/>
          <w:bdr w:val="none" w:color="auto" w:sz="0" w:space="0"/>
          <w:shd w:val="clear" w:fill="FFFFFF"/>
        </w:rPr>
        <w:t>操作步骤：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一、琼脂糖凝胶电泳染色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285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将SafeGreen Nucleic Acid Dye加入凝胶中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285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1．制胶：按常规操作，制备琼脂糖凝胶，加入浓缩的10,000x SafeGreen，使其在凝胶中的终浓度为1x（例如：制备50ml的凝胶，加入染料5μl），轻轻摇匀，倒胶。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  2．按常规方法电泳，观测结果。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二、泡染法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（1）按照以上常规方法进行电泳。 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（</w:t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auto"/>
          <w:spacing w:val="0"/>
          <w:sz w:val="18"/>
          <w:szCs w:val="18"/>
          <w:bdr w:val="none" w:color="auto" w:sz="0" w:space="0"/>
          <w:shd w:val="clear" w:fill="FFFFFF"/>
        </w:rPr>
        <w:t>用于胶回收等高浓度DNA样品推荐泡染法</w:t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auto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（2）将SafeGreen10,000×储液稀释约3,300倍到0.1M NaCl溶液中制成3×染色液。例如将15μL SafeGreen10,000×原装液加入到50mL 0.1M NaCl溶液中。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（3）将凝胶小心地放入合适的容器中(如聚丙烯容器中)缓慢加入足量的3× 染色液浸没凝胶。室温振荡染色30min左右，最佳染色时间根据凝胶厚度以及琼脂糖浓度不同而略有不同。对于含1％的凝胶，染色时间约30min。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（4）用302nm激发的紫外凝胶成像系统观察结果。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*注意事项：用泡染法染色时，染料用量较多。3× SafeGreen染色液室温避光保存，可重复使用3次左右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8000"/>
          <w:spacing w:val="0"/>
          <w:sz w:val="18"/>
          <w:szCs w:val="18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8000"/>
          <w:spacing w:val="0"/>
          <w:sz w:val="18"/>
          <w:szCs w:val="18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8000"/>
          <w:spacing w:val="0"/>
          <w:sz w:val="18"/>
          <w:szCs w:val="18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8000"/>
          <w:spacing w:val="0"/>
          <w:sz w:val="18"/>
          <w:szCs w:val="18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8000"/>
          <w:spacing w:val="0"/>
          <w:sz w:val="18"/>
          <w:szCs w:val="18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8000"/>
          <w:spacing w:val="0"/>
          <w:sz w:val="18"/>
          <w:szCs w:val="18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8000"/>
          <w:spacing w:val="0"/>
          <w:sz w:val="18"/>
          <w:szCs w:val="18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8000"/>
          <w:spacing w:val="0"/>
          <w:sz w:val="18"/>
          <w:szCs w:val="18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542" w:firstLineChars="300"/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8000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8000"/>
          <w:spacing w:val="0"/>
          <w:sz w:val="18"/>
          <w:szCs w:val="18"/>
          <w:bdr w:val="none" w:color="auto" w:sz="0" w:space="0"/>
          <w:shd w:val="clear" w:fill="FFFFFF"/>
        </w:rPr>
        <w:t>注意事项：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8000"/>
          <w:spacing w:val="0"/>
          <w:sz w:val="18"/>
          <w:szCs w:val="18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36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1．  由于SafeGreen 具有良好的热稳定性，可以在热的琼脂糖溶液中直接添加，而不需要等待溶液冷却。摇晃，振荡或者翻转以保证染料充分混匀。也可以选择将SafeGreen储液加到琼脂糖粉末和电泳缓冲液中，然后用微波炉或其他常用方式加热以制备琼脂糖凝胶。SafeGreen 兼容所有常用的电泳缓冲溶液。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36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2．  如果条带总是弥散或分离不理想，请使用泡染法染色以确认问题是否与染料有关。如果染色后问题依旧存在，则说明问题与染料无关，请尝试：降低琼脂糖浓度；选用更长的凝胶；延长凝胶时间以保证边缘清晰；改进上样技巧或选择泡染法染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36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3．  SafeGreen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®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对玻璃器皿和非聚丙烯材料具有一定的亲合力。建议在稀释、贮存、染色等使用过程中用聚丙烯类容器。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36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  <w:t>4．  对于聚丙烯酰胺凝胶请使用泡染法。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361" w:firstLineChars="200"/>
        <w:rPr>
          <w:rStyle w:val="5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008000"/>
          <w:spacing w:val="0"/>
          <w:sz w:val="18"/>
          <w:szCs w:val="18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36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404040"/>
          <w:spacing w:val="0"/>
          <w:sz w:val="18"/>
          <w:szCs w:val="18"/>
          <w:bdr w:val="none" w:color="auto" w:sz="0" w:space="0"/>
          <w:shd w:val="clear" w:fill="FFFFFF"/>
          <w:lang w:val="en-US" w:eastAsia="zh-CN"/>
        </w:rPr>
      </w:pPr>
    </w:p>
    <w:sectPr>
      <w:pgSz w:w="12240" w:h="15839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 SC 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-webkit-standar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A91162"/>
    <w:multiLevelType w:val="singleLevel"/>
    <w:tmpl w:val="EBA9116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zNDBjYmYwOTU0NGI1YTYxNTMzNzI4ZGQ0M2QwZDAifQ=="/>
  </w:docVars>
  <w:rsids>
    <w:rsidRoot w:val="00000000"/>
    <w:rsid w:val="44A3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zhaoh</dc:creator>
  <cp:lastModifiedBy>赵辉</cp:lastModifiedBy>
  <dcterms:modified xsi:type="dcterms:W3CDTF">2022-10-28T01:36:31Z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E4F9E8B13F5A4CF3B5809B167CE64A57</vt:lpwstr>
  </property>
</Properties>
</file>