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2CE7E">
      <w:pPr>
        <w:pStyle w:val="2"/>
        <w:bidi w:val="0"/>
        <w:rPr>
          <w:rFonts w:hint="eastAsia"/>
          <w:sz w:val="36"/>
          <w:szCs w:val="21"/>
        </w:rPr>
      </w:pPr>
      <w:r>
        <w:rPr>
          <w:rFonts w:hint="eastAsia"/>
          <w:sz w:val="36"/>
          <w:szCs w:val="21"/>
        </w:rPr>
        <w:t>彩虹 245 广谱蛋白 Marker(1</w:t>
      </w:r>
      <w:r>
        <w:rPr>
          <w:rFonts w:hint="eastAsia"/>
          <w:sz w:val="36"/>
          <w:szCs w:val="21"/>
          <w:lang w:val="en-US" w:eastAsia="zh-CN"/>
        </w:rPr>
        <w:t>0</w:t>
      </w:r>
      <w:r>
        <w:rPr>
          <w:rFonts w:hint="eastAsia"/>
          <w:sz w:val="36"/>
          <w:szCs w:val="21"/>
        </w:rPr>
        <w:t>-245KD)</w:t>
      </w:r>
    </w:p>
    <w:p w14:paraId="262E46D7">
      <w:pPr>
        <w:rPr>
          <w:rFonts w:hint="eastAsia"/>
          <w:lang w:val="en-US" w:eastAsia="zh-CN"/>
        </w:rPr>
      </w:pPr>
      <w:r>
        <w:rPr>
          <w:rFonts w:hint="eastAsia"/>
        </w:rPr>
        <w:t>货号:</w:t>
      </w:r>
      <w:r>
        <w:rPr>
          <w:rFonts w:hint="eastAsia"/>
          <w:lang w:val="en-US" w:eastAsia="zh-CN"/>
        </w:rPr>
        <w:t xml:space="preserve">FP88047  </w:t>
      </w:r>
    </w:p>
    <w:p w14:paraId="01E0493F">
      <w:pPr>
        <w:rPr>
          <w:rFonts w:hint="eastAsia"/>
        </w:rPr>
      </w:pPr>
      <w:r>
        <w:rPr>
          <w:rFonts w:hint="eastAsia"/>
        </w:rPr>
        <w:t>规格:20T(100μL)/50T(250L)/100T(250μLx2)/500T(250μLx10)</w:t>
      </w:r>
    </w:p>
    <w:p w14:paraId="3ED18E90">
      <w:pPr>
        <w:rPr>
          <w:rFonts w:hint="eastAsia"/>
        </w:rPr>
      </w:pPr>
      <w:r>
        <w:rPr>
          <w:rFonts w:hint="eastAsia"/>
        </w:rPr>
        <w:t>保存:-20℃℃保存，有效期至少2年。</w:t>
      </w:r>
    </w:p>
    <w:p w14:paraId="16790987">
      <w:pPr>
        <w:rPr>
          <w:rFonts w:hint="eastAsia"/>
        </w:rPr>
      </w:pPr>
    </w:p>
    <w:p w14:paraId="5D671B07">
      <w:pPr>
        <w:rPr>
          <w:rFonts w:hint="eastAsia"/>
        </w:rPr>
      </w:pPr>
      <w:r>
        <w:rPr>
          <w:rFonts w:hint="eastAsia"/>
        </w:rPr>
        <w:t>产品特点:</w:t>
      </w:r>
    </w:p>
    <w:p w14:paraId="5900F1A4">
      <w:pPr>
        <w:rPr>
          <w:rFonts w:hint="eastAsia"/>
        </w:rPr>
      </w:pPr>
      <w:r>
        <w:rPr>
          <w:rFonts w:hint="eastAsia"/>
        </w:rPr>
        <w:t>三色预染、颜色鲜亮，条带整齐，便于观察。</w:t>
      </w:r>
    </w:p>
    <w:p w14:paraId="61356323">
      <w:pPr>
        <w:rPr>
          <w:rFonts w:hint="eastAsia"/>
        </w:rPr>
      </w:pPr>
      <w:r>
        <w:rPr>
          <w:rFonts w:hint="eastAsia"/>
        </w:rPr>
        <w:t>稳定性能突出，经检测 4°℃放置6个月无明显降解。</w:t>
      </w:r>
    </w:p>
    <w:p w14:paraId="5EDA3A5F">
      <w:pPr>
        <w:rPr>
          <w:rFonts w:hint="eastAsia"/>
        </w:rPr>
      </w:pPr>
      <w:r>
        <w:rPr>
          <w:rFonts w:hint="eastAsia"/>
        </w:rPr>
        <w:t>用量少，节约成本，仅5μ 即可完美呈现(1.5mm，10孔)。</w:t>
      </w:r>
    </w:p>
    <w:p w14:paraId="1CB8F66B">
      <w:pPr>
        <w:rPr>
          <w:rFonts w:hint="eastAsia"/>
        </w:rPr>
      </w:pPr>
      <w:r>
        <w:rPr>
          <w:rFonts w:hint="eastAsia"/>
        </w:rPr>
        <w:t>广谱多带，一支即可满足多种实验需求。</w:t>
      </w:r>
    </w:p>
    <w:p w14:paraId="35E6857A">
      <w:pPr>
        <w:rPr>
          <w:rFonts w:hint="eastAsia"/>
        </w:rPr>
      </w:pPr>
    </w:p>
    <w:p w14:paraId="2B5BFA4B">
      <w:pPr>
        <w:rPr>
          <w:rFonts w:hint="eastAsia"/>
        </w:rPr>
      </w:pPr>
      <w:r>
        <w:rPr>
          <w:rFonts w:hint="eastAsia"/>
        </w:rPr>
        <w:t>产品简介:</w:t>
      </w:r>
    </w:p>
    <w:p w14:paraId="041E9202">
      <w:pPr>
        <w:rPr>
          <w:rFonts w:hint="eastAsia"/>
        </w:rPr>
      </w:pPr>
      <w:r>
        <w:rPr>
          <w:rFonts w:hint="eastAsia"/>
        </w:rPr>
        <w:t>本产品包含 12种彩色预染的已知分子量标准蛋白，分子量范围为1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-245KD，每种蛋白含量约为 0.2-0.4mg/L。预染marker 可以用于直接观察蛋白质电泳状况以及清晰地判断Westem Blot 的转膜效果。经 SDS-PAGE 凝胶电泳或转移到 PVDF 或 NC 膜上可得到清晰的12 条彩色蛋白条带、其中25KD为绿色条带、75KD 为红色条带，其余10条是蓝色条带。</w:t>
      </w:r>
    </w:p>
    <w:p w14:paraId="2BB4B76B">
      <w:pPr>
        <w:rPr>
          <w:rFonts w:hint="eastAsia"/>
        </w:rPr>
      </w:pPr>
    </w:p>
    <w:p w14:paraId="1E0CB0E1">
      <w:pPr>
        <w:rPr>
          <w:rFonts w:hint="eastAsia"/>
        </w:rPr>
      </w:pPr>
      <w:r>
        <w:rPr>
          <w:rFonts w:hint="eastAsia"/>
        </w:rPr>
        <w:t>使用说明(仅供参考):</w:t>
      </w:r>
    </w:p>
    <w:p w14:paraId="7F9E669C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本产品是即用型液体，可直接上样电泳。上样前无需加热，稀释或添加还原剂。</w:t>
      </w:r>
    </w:p>
    <w:p w14:paraId="0AC1B1FD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上样 5</w:t>
      </w:r>
      <w:r>
        <w:rPr>
          <w:rFonts w:hint="eastAsia"/>
          <w:lang w:val="en-US" w:eastAsia="zh-CN"/>
        </w:rPr>
        <w:t xml:space="preserve">UL </w:t>
      </w:r>
      <w:r>
        <w:rPr>
          <w:rFonts w:hint="eastAsia"/>
        </w:rPr>
        <w:t>SDS-PAGE 电泳过程及转膜后可看见清晰的彩虹条带,</w:t>
      </w:r>
      <w:bookmarkStart w:id="0" w:name="_GoBack"/>
      <w:bookmarkEnd w:id="0"/>
    </w:p>
    <w:p w14:paraId="581A31F3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建议分离胶浓度为15%。</w:t>
      </w:r>
    </w:p>
    <w:p w14:paraId="2834A9E8">
      <w:pPr>
        <w:rPr>
          <w:rFonts w:hint="eastAsia"/>
        </w:rPr>
      </w:pPr>
    </w:p>
    <w:p w14:paraId="3198A62B">
      <w:pPr>
        <w:rPr>
          <w:rFonts w:hint="eastAsia"/>
        </w:rPr>
      </w:pPr>
      <w:r>
        <w:rPr>
          <w:rFonts w:hint="eastAsia"/>
        </w:rPr>
        <w:t>电泳示意图说明:</w:t>
      </w:r>
    </w:p>
    <w:p w14:paraId="3BCA0058">
      <w:r>
        <w:drawing>
          <wp:inline distT="0" distB="0" distL="114300" distR="114300">
            <wp:extent cx="714375" cy="26289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21AE1">
      <w:pPr>
        <w:rPr>
          <w:rFonts w:hint="eastAsia"/>
        </w:rPr>
      </w:pPr>
    </w:p>
    <w:p w14:paraId="3DD32924">
      <w:pPr>
        <w:rPr>
          <w:rFonts w:hint="eastAsia"/>
        </w:rPr>
      </w:pPr>
    </w:p>
    <w:p w14:paraId="166F6047">
      <w:pPr>
        <w:rPr>
          <w:rFonts w:hint="eastAsia"/>
        </w:rPr>
      </w:pPr>
    </w:p>
    <w:p w14:paraId="4DCE01C5">
      <w:pPr>
        <w:rPr>
          <w:rFonts w:hint="eastAsia"/>
        </w:rPr>
      </w:pPr>
    </w:p>
    <w:p w14:paraId="35A59EEE">
      <w:pPr>
        <w:rPr>
          <w:rFonts w:hint="eastAsia"/>
        </w:rPr>
      </w:pPr>
    </w:p>
    <w:p w14:paraId="174906BC">
      <w:pPr>
        <w:rPr>
          <w:rFonts w:hint="eastAsia"/>
        </w:rPr>
      </w:pPr>
    </w:p>
    <w:p w14:paraId="59ECB259">
      <w:pPr>
        <w:rPr>
          <w:rFonts w:hint="eastAsia"/>
        </w:rPr>
      </w:pPr>
      <w:r>
        <w:rPr>
          <w:rFonts w:hint="eastAsia"/>
        </w:rPr>
        <w:t>注意事项:</w:t>
      </w:r>
    </w:p>
    <w:p w14:paraId="66555F8B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本产品含有较高浓度甘油，常规-20℃℃保存为液体状态，可直接使用。若冰箱温度不稳，导致结冰，可适当分装后置于4℃保存，至少稳定6个月。2.为避免反复冻融及污染，可将本产品分装后，-20℃C保存。</w:t>
      </w:r>
    </w:p>
    <w:p w14:paraId="59EDC3D9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为避免反复冻融及污染，可将本产品分装后，-20℃℃保存。</w:t>
      </w:r>
    </w:p>
    <w:p w14:paraId="04F6112B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预染蛋白质分子量标准仅用于分子量的近似参考，批次间差异约为5%。</w:t>
      </w:r>
    </w:p>
    <w:p w14:paraId="3C97E6F1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Marker 分离效果与 PAGE胶浓度相关,若分离胶浓度低于15%,25KD 以下条带不易分离，但不影响绿色(25KD)及以上条带。如果目的条带小于25KD.建议分离胶浓度大于或等于 15%。</w:t>
      </w:r>
    </w:p>
    <w:p w14:paraId="0C5017C7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在低浓度凝胶中，低分子量条带将会与前沿共迁移而无法分出。</w:t>
      </w:r>
    </w:p>
    <w:p w14:paraId="5C5D406E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在不同凝胶和缓冲液系统中，预染蛋白质的迁移会有所差别，可用非预染蛋白质分子量标准进行校正，并按校正后的结果正常使用。</w:t>
      </w:r>
    </w:p>
    <w:p w14:paraId="4BD528FA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蛋白 Manrker 可能会与抗体发生非特异性结合，可以降低抗体浓度、减少解育时长.</w:t>
      </w:r>
    </w:p>
    <w:p w14:paraId="0955ECD1">
      <w:pPr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以及减小蛋白 Marker 上样最来进行优化。</w:t>
      </w:r>
    </w:p>
    <w:p w14:paraId="135B7A7A"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蛋白 Marker 可能会与抗体发生非特异性结合，可以降低抗体浓度、减少孵育时长,以及减小蛋白 Marker 上样量来进行优化。</w:t>
      </w:r>
    </w:p>
    <w:p w14:paraId="113E98FB">
      <w:pPr>
        <w:numPr>
          <w:ilvl w:val="0"/>
          <w:numId w:val="2"/>
        </w:numPr>
        <w:ind w:left="0" w:leftChars="0" w:firstLine="0" w:firstLineChars="0"/>
        <w:rPr>
          <w:rFonts w:hint="eastAsia"/>
        </w:rPr>
      </w:pPr>
      <w:r>
        <w:rPr>
          <w:rFonts w:hint="eastAsia"/>
        </w:rPr>
        <w:t>转膜效果与转膜时间有关，需根据客户目的条带大小而定,如果转膜后较大分子量条带有部分未转膜成功，属于正常现象。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24609D"/>
    <w:multiLevelType w:val="singleLevel"/>
    <w:tmpl w:val="B224609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D35CEE4"/>
    <w:multiLevelType w:val="singleLevel"/>
    <w:tmpl w:val="0D35CEE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B5701"/>
    <w:rsid w:val="413D6761"/>
    <w:rsid w:val="433D0215"/>
    <w:rsid w:val="4980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2026-06-01T08:47:49Z</dcterms:created>
  <dc:creator>ADMIN</dc:creator>
  <cp:lastModifiedBy>赵辉</cp:lastModifiedBy>
  <cp:lastPrinted>2026-06-01T08:54:47Z</cp:lastPrinted>
  <dcterms:modified xsi:type="dcterms:W3CDTF">2026-06-01T08:57:52Z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eyJoZGlkIjoiMmY0Mzk4ZDY4OTk2MjMzMDdiNDdlMjliOGVkMTlkNzgiLCJ1c2VySWQiOiIyODY5MDcxNTkifQ==</vt:lpwstr>
  </property>
  <property fmtid="{D5CDD505-2E9C-101B-9397-08002B2CF9AE}" pid="4" name="ICV">
    <vt:lpwstr>DF716318F89947C594DBD21AF490E159_12</vt:lpwstr>
  </property>
</Properties>
</file>