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738AC">
      <w:pPr>
        <w:spacing w:before="312" w:beforeLines="100" w:line="360" w:lineRule="exact"/>
        <w:rPr>
          <w:rFonts w:hint="default" w:ascii="Times New Roman" w:hAnsi="Times New Roman" w:eastAsia="宋体" w:cs="Times New Roman"/>
          <w:b/>
          <w:sz w:val="30"/>
          <w:szCs w:val="30"/>
        </w:rPr>
      </w:pPr>
      <w:bookmarkStart w:id="1" w:name="_GoBack"/>
      <w:bookmarkEnd w:id="1"/>
      <w:bookmarkStart w:id="0" w:name="OLE_LINK2"/>
      <w:r>
        <w:rPr>
          <w:rFonts w:hint="default" w:ascii="Times New Roman" w:hAnsi="Times New Roman" w:eastAsia="宋体" w:cs="Times New Roman"/>
          <w:b/>
          <w:sz w:val="30"/>
          <w:szCs w:val="30"/>
        </w:rPr>
        <w:t xml:space="preserve">低熔点琼脂糖 </w:t>
      </w:r>
      <w:bookmarkEnd w:id="0"/>
    </w:p>
    <w:p w14:paraId="22BEFDFD">
      <w:pPr>
        <w:adjustRightInd w:val="0"/>
        <w:snapToGrid w:val="0"/>
        <w:spacing w:line="360" w:lineRule="exact"/>
        <w:rPr>
          <w:rFonts w:hint="default" w:ascii="Times New Roman" w:hAnsi="Times New Roman" w:eastAsia="宋体" w:cs="Times New Roman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 xml:space="preserve">货号: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FK13696</w:t>
      </w:r>
    </w:p>
    <w:p w14:paraId="7B1EE3C4">
      <w:pPr>
        <w:adjustRightInd w:val="0"/>
        <w:snapToGrid w:val="0"/>
        <w:spacing w:line="360" w:lineRule="exac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 xml:space="preserve">规格: </w:t>
      </w:r>
      <w:r>
        <w:rPr>
          <w:rFonts w:hint="default" w:ascii="Times New Roman" w:hAnsi="Times New Roman" w:eastAsia="宋体" w:cs="Times New Roman"/>
          <w:sz w:val="24"/>
          <w:szCs w:val="24"/>
        </w:rPr>
        <w:t>2.5g/5g/100g</w:t>
      </w:r>
    </w:p>
    <w:p w14:paraId="1B5ECEF0">
      <w:pPr>
        <w:spacing w:line="360" w:lineRule="exac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 xml:space="preserve">英文名称: </w:t>
      </w:r>
      <w:r>
        <w:rPr>
          <w:rFonts w:hint="default" w:ascii="Times New Roman" w:hAnsi="Times New Roman" w:eastAsia="宋体" w:cs="Times New Roman"/>
          <w:bCs/>
          <w:sz w:val="24"/>
          <w:szCs w:val="24"/>
        </w:rPr>
        <w:t>Agarose</w:t>
      </w:r>
      <w:r>
        <w:rPr>
          <w:rFonts w:hint="default" w:ascii="Times New Roman" w:hAnsi="Times New Roman" w:eastAsia="宋体" w:cs="Times New Roman"/>
        </w:rPr>
        <w:t xml:space="preserve"> </w:t>
      </w:r>
      <w:r>
        <w:rPr>
          <w:rFonts w:hint="default" w:ascii="Times New Roman" w:hAnsi="Times New Roman" w:eastAsia="宋体" w:cs="Times New Roman"/>
          <w:bCs/>
          <w:sz w:val="24"/>
          <w:szCs w:val="24"/>
        </w:rPr>
        <w:t xml:space="preserve">(Low melting gel) </w:t>
      </w:r>
    </w:p>
    <w:p w14:paraId="66D54C0B">
      <w:pPr>
        <w:spacing w:line="360" w:lineRule="exac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CAS: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9012-36-6 </w:t>
      </w:r>
    </w:p>
    <w:p w14:paraId="4D05C1DD">
      <w:pPr>
        <w:spacing w:line="360" w:lineRule="exac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外观（性状）：</w:t>
      </w:r>
      <w:r>
        <w:rPr>
          <w:rFonts w:hint="default" w:ascii="Times New Roman" w:hAnsi="Times New Roman" w:eastAsia="宋体" w:cs="Times New Roman"/>
          <w:bCs/>
          <w:sz w:val="24"/>
          <w:szCs w:val="24"/>
        </w:rPr>
        <w:t xml:space="preserve">白色粉末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    </w:t>
      </w:r>
    </w:p>
    <w:p w14:paraId="409F8E07">
      <w:pPr>
        <w:spacing w:line="360" w:lineRule="exact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 xml:space="preserve">保存条件: </w:t>
      </w:r>
      <w:r>
        <w:rPr>
          <w:rFonts w:hint="default" w:ascii="Times New Roman" w:hAnsi="Times New Roman" w:eastAsia="宋体" w:cs="Times New Roman"/>
          <w:bCs/>
          <w:sz w:val="24"/>
          <w:szCs w:val="24"/>
        </w:rPr>
        <w:t>RT，避光保存，有效期4年。</w:t>
      </w:r>
    </w:p>
    <w:p w14:paraId="6C838125">
      <w:pPr>
        <w:adjustRightInd w:val="0"/>
        <w:snapToGrid w:val="0"/>
        <w:spacing w:before="156" w:beforeLines="50" w:line="360" w:lineRule="exact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产品说明：</w:t>
      </w:r>
    </w:p>
    <w:p w14:paraId="2257177E">
      <w:pPr>
        <w:tabs>
          <w:tab w:val="left" w:pos="6255"/>
        </w:tabs>
        <w:adjustRightInd w:val="0"/>
        <w:snapToGrid w:val="0"/>
        <w:spacing w:line="360" w:lineRule="exact"/>
        <w:ind w:firstLine="480" w:firstLineChars="200"/>
        <w:rPr>
          <w:rFonts w:hint="default" w:ascii="Times New Roman" w:hAnsi="Times New Roman" w:eastAsia="宋体" w:cs="Times New Roman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z w:val="24"/>
          <w:szCs w:val="24"/>
        </w:rPr>
        <w:t>正确的加热方式对琼脂糖的充分溶解和凝结至关重要，在此，我们提供以下几点作为正确制备琼脂糖凝胶的操作参考。</w:t>
      </w:r>
    </w:p>
    <w:p w14:paraId="2D7B2DFF">
      <w:pPr>
        <w:tabs>
          <w:tab w:val="left" w:pos="6255"/>
        </w:tabs>
        <w:adjustRightInd w:val="0"/>
        <w:snapToGrid w:val="0"/>
        <w:spacing w:line="360" w:lineRule="exact"/>
        <w:ind w:firstLine="480" w:firstLineChars="200"/>
        <w:rPr>
          <w:rFonts w:hint="default" w:ascii="Times New Roman" w:hAnsi="Times New Roman" w:eastAsia="宋体" w:cs="Times New Roman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z w:val="24"/>
          <w:szCs w:val="24"/>
        </w:rPr>
        <w:t>琼脂糖加热溶解所需时间短。</w:t>
      </w:r>
    </w:p>
    <w:p w14:paraId="0DCD40DD">
      <w:pPr>
        <w:tabs>
          <w:tab w:val="left" w:pos="6255"/>
        </w:tabs>
        <w:adjustRightInd w:val="0"/>
        <w:snapToGrid w:val="0"/>
        <w:spacing w:line="360" w:lineRule="exact"/>
        <w:ind w:firstLine="480" w:firstLineChars="200"/>
        <w:rPr>
          <w:rFonts w:hint="default" w:ascii="Times New Roman" w:hAnsi="Times New Roman" w:eastAsia="宋体" w:cs="Times New Roman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z w:val="24"/>
          <w:szCs w:val="24"/>
        </w:rPr>
        <w:t>琼脂糖在TAE 或者TBE 缓冲液中不溶解，加热时，琼脂糖颗粒水化形成溶液，水化是时间依赖的，不同的琼脂糖水化点不同。琼脂糖纯度高，超微颗粒，非常适合作为电泳实验载体。对比于其他的琼脂糖，琼脂糖水化速度快，使用者无需煮沸过长时间，否则易导致胶液浓稠，不利于混匀，凝胶后易破损。。</w:t>
      </w:r>
    </w:p>
    <w:p w14:paraId="05CA2EBA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琼脂糖凝胶制备</w:t>
      </w:r>
    </w:p>
    <w:p w14:paraId="064603F0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用1×TBE 溶液配制1%浓度琼脂糖凝胶</w:t>
      </w:r>
    </w:p>
    <w:p w14:paraId="3D4B1EDB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1. 用于制备胶液的锥形瓶体积应为胶液体积的2-4 倍，缓慢向缓冲液中加入琼脂糖，边加边搅拌，防止琼脂糖聚集。记录瓶体和溶液总重量。</w:t>
      </w:r>
    </w:p>
    <w:p w14:paraId="6603B331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2. 微波炉高火加热30s，根据配制的溶液体积调整加热时间。加热时间与微波炉、瓶体大小和琼脂糖浓度有关。</w:t>
      </w:r>
    </w:p>
    <w:p w14:paraId="0664B06B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3. 摇匀琼脂糖溶液。</w:t>
      </w:r>
    </w:p>
    <w:p w14:paraId="5E226AD3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4. 再次高火加热30s，摇匀琼脂糖溶液。</w:t>
      </w:r>
    </w:p>
    <w:p w14:paraId="0FF91D7A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5. 将溶液再次放回微波炉，高火加热至沸腾（大约10-35s）。接触移动时琼脂糖胶液可能会剧烈沸腾，小心操作，避免烫伤。从微波炉拿出后，室温冷却1-2min，轻轻摇晃使液体里的气泡溢出。</w:t>
      </w:r>
    </w:p>
    <w:p w14:paraId="05DDEA5B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6. 重新放回微波炉，高火加热，使之沸腾约15s，观察琼脂糖的溶解状态，如果仍有颗粒存在，重复该步骤直至所有晶体全部溶解。</w:t>
      </w:r>
    </w:p>
    <w:p w14:paraId="4B17CA31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7. 待琼脂糖完全溶解成液体，重新称量总重量，计算蒸发液体量，用水补齐至原始重量，摇匀液体。</w:t>
      </w:r>
    </w:p>
    <w:p w14:paraId="2161438C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8. 建议胶液冷却至50-55℃时灌胶，有利于凝胶孔径均匀一致，不至于损伤制胶仪。灌胶前轻轻摇晃琼脂糖溶液，释放胶液中残存的气泡。</w:t>
      </w:r>
    </w:p>
    <w:p w14:paraId="6E19F9FD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9. 向制胶槽中灌胶，一般胶的厚度3-5mm，灌胶后尽量排除梳孔之间或底部的气泡。</w:t>
      </w:r>
    </w:p>
    <w:p w14:paraId="7006D0AB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10. 在室温放置（30-45min）使胶充分凝结。</w:t>
      </w:r>
    </w:p>
    <w:p w14:paraId="23E3121E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如果要制备不同浓度和不同体积的凝胶，请注意以下两点：</w:t>
      </w:r>
    </w:p>
    <w:p w14:paraId="15E9A60B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1. 在凝胶溶液煮沸前至少进行2 次摇匀。</w:t>
      </w:r>
    </w:p>
    <w:p w14:paraId="0B58420D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2. 胶液沸腾后，每隔10-15s 观察一次胶液溶解程度（间隔时间取决于胶液浓度和体积）。</w:t>
      </w:r>
    </w:p>
    <w:p w14:paraId="51C8FEBB">
      <w:pPr>
        <w:spacing w:before="156" w:beforeLines="50" w:line="360" w:lineRule="exact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Guidelines for small fragment resolution using Agaroses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br w:type="textWrapping"/>
      </w:r>
    </w:p>
    <w:tbl>
      <w:tblPr>
        <w:tblStyle w:val="7"/>
        <w:tblpPr w:leftFromText="180" w:rightFromText="180" w:vertAnchor="text" w:horzAnchor="page" w:tblpXSpec="center" w:tblpY="110"/>
        <w:tblOverlap w:val="never"/>
        <w:tblW w:w="94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1460"/>
        <w:gridCol w:w="1733"/>
        <w:gridCol w:w="1701"/>
        <w:gridCol w:w="3466"/>
      </w:tblGrid>
      <w:tr w14:paraId="56E3E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2D8BB42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片段大小 </w:t>
            </w:r>
          </w:p>
        </w:tc>
        <w:tc>
          <w:tcPr>
            <w:tcW w:w="14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AA1B5A1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Agarose</w:t>
            </w:r>
          </w:p>
          <w:p w14:paraId="0266127C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Ⅱ 0815 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4E71586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Agarose 3:1™ E776 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D09F1FC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Agarose SFR™J234</w:t>
            </w:r>
          </w:p>
        </w:tc>
        <w:tc>
          <w:tcPr>
            <w:tcW w:w="34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FECE8B9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备注</w:t>
            </w:r>
          </w:p>
        </w:tc>
      </w:tr>
      <w:tr w14:paraId="606DC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132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96AF86E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＜0.5kb</w:t>
            </w:r>
          </w:p>
          <w:p w14:paraId="68096274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分析</w:t>
            </w:r>
          </w:p>
          <w:p w14:paraId="5EB351A2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～2%</w:t>
            </w:r>
          </w:p>
        </w:tc>
        <w:tc>
          <w:tcPr>
            <w:tcW w:w="146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3CD0203E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不建议 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AF33D74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4-5%</w:t>
            </w:r>
          </w:p>
          <w:p w14:paraId="47C3021B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TBE Buffer 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AEDCDD4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3.5-5%</w:t>
            </w:r>
          </w:p>
          <w:p w14:paraId="04EF1969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TAE or TBE </w:t>
            </w:r>
          </w:p>
          <w:p w14:paraId="2DA1CB69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Buffer </w:t>
            </w:r>
          </w:p>
        </w:tc>
        <w:tc>
          <w:tcPr>
            <w:tcW w:w="34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DF49B47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Agarose SFR适合，Agarose 3:1透明度较差</w:t>
            </w:r>
          </w:p>
        </w:tc>
      </w:tr>
      <w:tr w14:paraId="300E3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1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22A7B91D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＜0.5kb</w:t>
            </w:r>
          </w:p>
          <w:p w14:paraId="77DD5F87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分析</w:t>
            </w:r>
          </w:p>
          <w:p w14:paraId="52C7CE97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～3-5% </w:t>
            </w:r>
          </w:p>
        </w:tc>
        <w:tc>
          <w:tcPr>
            <w:tcW w:w="14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E9689B9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3-4%</w:t>
            </w:r>
          </w:p>
          <w:p w14:paraId="319E4CCC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TBE Buffer 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8C10530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3%</w:t>
            </w:r>
          </w:p>
          <w:p w14:paraId="2727A125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TBE Buffer 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0E524299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3-4%</w:t>
            </w:r>
          </w:p>
          <w:p w14:paraId="32C4CAFA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TAE or TBE Buffer </w:t>
            </w:r>
          </w:p>
        </w:tc>
        <w:tc>
          <w:tcPr>
            <w:tcW w:w="34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243C60E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Agarose SFR和 Agarose 3:1在指定浓度下机械强度较 Agarose Ⅱ高，不易碎。</w:t>
            </w:r>
          </w:p>
        </w:tc>
      </w:tr>
      <w:tr w14:paraId="434B7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1132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FE43616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＜0.5kb</w:t>
            </w:r>
          </w:p>
          <w:p w14:paraId="5980E9FD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制备 </w:t>
            </w:r>
          </w:p>
        </w:tc>
        <w:tc>
          <w:tcPr>
            <w:tcW w:w="146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9621FDD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2-4% </w:t>
            </w:r>
          </w:p>
          <w:p w14:paraId="35845EBB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TAE or TBE Buffer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74878D8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不建议 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5079D6A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2-5% </w:t>
            </w:r>
          </w:p>
          <w:p w14:paraId="24005B63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TAE or TBE Buffer</w:t>
            </w:r>
          </w:p>
        </w:tc>
        <w:tc>
          <w:tcPr>
            <w:tcW w:w="34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2C0F61C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浓度根据分辨率来选择。低浓度</w:t>
            </w:r>
          </w:p>
          <w:p w14:paraId="1D1BD87A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能提高片段回收纯度， TBE缓冲液不适合一些商品化的回收试剂盒</w:t>
            </w:r>
          </w:p>
        </w:tc>
      </w:tr>
      <w:tr w14:paraId="168FB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1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02A5490F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0.5-2.0kb</w:t>
            </w:r>
          </w:p>
          <w:p w14:paraId="39909BE4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分析 </w:t>
            </w:r>
          </w:p>
        </w:tc>
        <w:tc>
          <w:tcPr>
            <w:tcW w:w="14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B73967A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1.5-2.5% TBE Buffer 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572DE56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1.5-2.5% TBE Buffer 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408FAAD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1.5-2.5%</w:t>
            </w:r>
          </w:p>
          <w:p w14:paraId="7481954B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TBE Buffer </w:t>
            </w:r>
          </w:p>
        </w:tc>
        <w:tc>
          <w:tcPr>
            <w:tcW w:w="34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38413F8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Agarose 3:1适合 Agarose SFR电泳时间长，易导致片段弥散 </w:t>
            </w:r>
          </w:p>
        </w:tc>
      </w:tr>
      <w:tr w14:paraId="57740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1132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7E8AE356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0.5-2.0kb</w:t>
            </w:r>
          </w:p>
          <w:p w14:paraId="4F934FF1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制备 </w:t>
            </w:r>
          </w:p>
        </w:tc>
        <w:tc>
          <w:tcPr>
            <w:tcW w:w="146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5AA7902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1.5-2.5% TAE or TBE </w:t>
            </w:r>
          </w:p>
          <w:p w14:paraId="3D5D6109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Buffer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122697F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不建议 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08ACAABA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1.5-2.5%</w:t>
            </w:r>
          </w:p>
          <w:p w14:paraId="0F450D2C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TAE or TBE </w:t>
            </w:r>
          </w:p>
          <w:p w14:paraId="38011677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Buffer </w:t>
            </w:r>
          </w:p>
        </w:tc>
        <w:tc>
          <w:tcPr>
            <w:tcW w:w="34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988E6A7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AgaroseⅡ适合， 1kb以上更佳。 TBE缓冲液不适合一些商品化的</w:t>
            </w:r>
          </w:p>
          <w:p w14:paraId="34DD94FB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回收试剂盒。 </w:t>
            </w:r>
          </w:p>
        </w:tc>
      </w:tr>
      <w:tr w14:paraId="7378F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1132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2C84885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1.0-3.0kb</w:t>
            </w:r>
          </w:p>
          <w:p w14:paraId="50398315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分析 </w:t>
            </w:r>
          </w:p>
        </w:tc>
        <w:tc>
          <w:tcPr>
            <w:tcW w:w="1460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43DBEAE8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1-1.5% </w:t>
            </w:r>
          </w:p>
        </w:tc>
        <w:tc>
          <w:tcPr>
            <w:tcW w:w="1733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61F5AA70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1-1.5% 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55EE96F6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1% </w:t>
            </w:r>
          </w:p>
        </w:tc>
        <w:tc>
          <w:tcPr>
            <w:tcW w:w="34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 w14:paraId="129E42B4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 xml:space="preserve">Agarose 3:1适合 AgaroseⅡ凝胶强度不适合印记实验。 </w:t>
            </w:r>
          </w:p>
          <w:p w14:paraId="67192DDC">
            <w:pPr>
              <w:spacing w:line="360" w:lineRule="exact"/>
              <w:rPr>
                <w:rFonts w:hint="default"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Cs w:val="21"/>
              </w:rPr>
              <w:t>Agarose SFR电泳时间长，易导致小片段弥散</w:t>
            </w:r>
          </w:p>
        </w:tc>
      </w:tr>
    </w:tbl>
    <w:p w14:paraId="1B8C5EDE">
      <w:pPr>
        <w:spacing w:line="360" w:lineRule="exact"/>
        <w:jc w:val="left"/>
        <w:rPr>
          <w:rFonts w:hint="default" w:ascii="Times New Roman" w:hAnsi="Times New Roman" w:eastAsia="宋体" w:cs="Times New Roman"/>
          <w:color w:val="000000"/>
          <w:sz w:val="24"/>
        </w:rPr>
      </w:pPr>
    </w:p>
    <w:p w14:paraId="2FB0829E">
      <w:pPr>
        <w:spacing w:line="360" w:lineRule="exact"/>
        <w:jc w:val="left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以上数据仅供参考，具体选择依据实际试验要求。</w:t>
      </w:r>
    </w:p>
    <w:p w14:paraId="00CB5335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</w:rPr>
        <w:t>参考电压5V/cm，低熔点琼脂糖电泳超过1 小时者，选择较低电压3-4V/cm 或者在4℃条件下电泳。</w:t>
      </w:r>
    </w:p>
    <w:p w14:paraId="53E78A3F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</w:p>
    <w:p w14:paraId="2B9FDE13">
      <w:pPr>
        <w:spacing w:line="360" w:lineRule="exact"/>
        <w:ind w:firstLine="240" w:firstLineChars="1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</w:p>
    <w:p w14:paraId="7E512259">
      <w:pPr>
        <w:spacing w:line="360" w:lineRule="exact"/>
        <w:jc w:val="left"/>
        <w:rPr>
          <w:rFonts w:hint="default" w:ascii="Times New Roman" w:hAnsi="Times New Roman" w:eastAsia="宋体" w:cs="Times New Roman"/>
          <w:sz w:val="24"/>
          <w:szCs w:val="24"/>
        </w:rPr>
      </w:pPr>
    </w:p>
    <w:sectPr>
      <w:footerReference r:id="rId3" w:type="default"/>
      <w:pgSz w:w="11906" w:h="16838"/>
      <w:pgMar w:top="1701" w:right="1134" w:bottom="2642" w:left="992" w:header="907" w:footer="1559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70878">
    <w:pPr>
      <w:pStyle w:val="4"/>
      <w:tabs>
        <w:tab w:val="center" w:pos="4890"/>
        <w:tab w:val="left" w:pos="8041"/>
      </w:tabs>
      <w:spacing w:before="187" w:beforeLines="78"/>
    </w:pPr>
    <w:sdt>
      <w:sdtPr>
        <w:id w:val="2672177"/>
      </w:sdtPr>
      <w:sdtContent>
        <w:sdt>
          <w:sdtPr>
            <w:id w:val="2672178"/>
          </w:sdtPr>
          <w:sdtContent>
            <w:r>
              <w:tab/>
            </w:r>
            <w:r>
              <w:tab/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  <w:r>
      <w:tab/>
    </w:r>
  </w:p>
  <w:p w14:paraId="255CBE50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465C"/>
    <w:rsid w:val="0001670E"/>
    <w:rsid w:val="0002018E"/>
    <w:rsid w:val="00030A56"/>
    <w:rsid w:val="00090E44"/>
    <w:rsid w:val="000B33DD"/>
    <w:rsid w:val="000B3FC7"/>
    <w:rsid w:val="000F0800"/>
    <w:rsid w:val="000F7868"/>
    <w:rsid w:val="00124489"/>
    <w:rsid w:val="00172A27"/>
    <w:rsid w:val="0018448B"/>
    <w:rsid w:val="00192132"/>
    <w:rsid w:val="001B0977"/>
    <w:rsid w:val="001C2D38"/>
    <w:rsid w:val="001C4342"/>
    <w:rsid w:val="001D76F2"/>
    <w:rsid w:val="001E3987"/>
    <w:rsid w:val="00210BF5"/>
    <w:rsid w:val="002177B6"/>
    <w:rsid w:val="00236BF6"/>
    <w:rsid w:val="002464A9"/>
    <w:rsid w:val="00266604"/>
    <w:rsid w:val="00272FF0"/>
    <w:rsid w:val="00273BCA"/>
    <w:rsid w:val="00283161"/>
    <w:rsid w:val="0029568F"/>
    <w:rsid w:val="002A18B8"/>
    <w:rsid w:val="002A77FF"/>
    <w:rsid w:val="002B1C7F"/>
    <w:rsid w:val="002D3D03"/>
    <w:rsid w:val="002D7517"/>
    <w:rsid w:val="00323669"/>
    <w:rsid w:val="00326F1C"/>
    <w:rsid w:val="00340AE7"/>
    <w:rsid w:val="00360674"/>
    <w:rsid w:val="0039231B"/>
    <w:rsid w:val="003D59D6"/>
    <w:rsid w:val="003E6B71"/>
    <w:rsid w:val="00482155"/>
    <w:rsid w:val="004A54F5"/>
    <w:rsid w:val="004B665D"/>
    <w:rsid w:val="004E28B0"/>
    <w:rsid w:val="00545D98"/>
    <w:rsid w:val="005962F9"/>
    <w:rsid w:val="005C7055"/>
    <w:rsid w:val="005C7FDB"/>
    <w:rsid w:val="005E289E"/>
    <w:rsid w:val="005E672B"/>
    <w:rsid w:val="00617E30"/>
    <w:rsid w:val="00622778"/>
    <w:rsid w:val="006256AD"/>
    <w:rsid w:val="00634BF5"/>
    <w:rsid w:val="00636694"/>
    <w:rsid w:val="006400A5"/>
    <w:rsid w:val="006418E8"/>
    <w:rsid w:val="00652C33"/>
    <w:rsid w:val="00660956"/>
    <w:rsid w:val="006A3AAC"/>
    <w:rsid w:val="006A6690"/>
    <w:rsid w:val="006B77C9"/>
    <w:rsid w:val="006C5688"/>
    <w:rsid w:val="006C7016"/>
    <w:rsid w:val="007046C7"/>
    <w:rsid w:val="007127A4"/>
    <w:rsid w:val="007332B7"/>
    <w:rsid w:val="007347F5"/>
    <w:rsid w:val="00762E43"/>
    <w:rsid w:val="00766046"/>
    <w:rsid w:val="0077253A"/>
    <w:rsid w:val="00784E6E"/>
    <w:rsid w:val="007A63C6"/>
    <w:rsid w:val="007B3C18"/>
    <w:rsid w:val="007B5206"/>
    <w:rsid w:val="007E0603"/>
    <w:rsid w:val="007E5C3A"/>
    <w:rsid w:val="007E690D"/>
    <w:rsid w:val="00801B96"/>
    <w:rsid w:val="00806AA5"/>
    <w:rsid w:val="0082087E"/>
    <w:rsid w:val="00840011"/>
    <w:rsid w:val="00854D41"/>
    <w:rsid w:val="008719D4"/>
    <w:rsid w:val="00873F75"/>
    <w:rsid w:val="0087633B"/>
    <w:rsid w:val="008E7DE4"/>
    <w:rsid w:val="008F62B8"/>
    <w:rsid w:val="0091149D"/>
    <w:rsid w:val="00981CEB"/>
    <w:rsid w:val="009A06C9"/>
    <w:rsid w:val="009D5E03"/>
    <w:rsid w:val="009E6ACD"/>
    <w:rsid w:val="009F0561"/>
    <w:rsid w:val="009F4F3C"/>
    <w:rsid w:val="00A012FE"/>
    <w:rsid w:val="00A160DD"/>
    <w:rsid w:val="00A22D33"/>
    <w:rsid w:val="00A265C1"/>
    <w:rsid w:val="00A33B2E"/>
    <w:rsid w:val="00AB697D"/>
    <w:rsid w:val="00AB7A19"/>
    <w:rsid w:val="00AD2A42"/>
    <w:rsid w:val="00AF3218"/>
    <w:rsid w:val="00B21B83"/>
    <w:rsid w:val="00B82AD5"/>
    <w:rsid w:val="00BB71AD"/>
    <w:rsid w:val="00BC362B"/>
    <w:rsid w:val="00BC6D74"/>
    <w:rsid w:val="00BE17D9"/>
    <w:rsid w:val="00C20BAB"/>
    <w:rsid w:val="00C27794"/>
    <w:rsid w:val="00C935A0"/>
    <w:rsid w:val="00CC46B0"/>
    <w:rsid w:val="00CD2FC3"/>
    <w:rsid w:val="00CD3D3D"/>
    <w:rsid w:val="00D358B5"/>
    <w:rsid w:val="00D443EF"/>
    <w:rsid w:val="00D65482"/>
    <w:rsid w:val="00D67C31"/>
    <w:rsid w:val="00DA2601"/>
    <w:rsid w:val="00DC1562"/>
    <w:rsid w:val="00DD6B3A"/>
    <w:rsid w:val="00E003DA"/>
    <w:rsid w:val="00E01D85"/>
    <w:rsid w:val="00E07078"/>
    <w:rsid w:val="00E531D9"/>
    <w:rsid w:val="00E56AD5"/>
    <w:rsid w:val="00E63F46"/>
    <w:rsid w:val="00E6509F"/>
    <w:rsid w:val="00E721F6"/>
    <w:rsid w:val="00E8106F"/>
    <w:rsid w:val="00EB0358"/>
    <w:rsid w:val="00ED5249"/>
    <w:rsid w:val="00EE28BD"/>
    <w:rsid w:val="00EE6A33"/>
    <w:rsid w:val="00F02EAA"/>
    <w:rsid w:val="00F05E6D"/>
    <w:rsid w:val="00F34B2E"/>
    <w:rsid w:val="00F37944"/>
    <w:rsid w:val="00FA75A2"/>
    <w:rsid w:val="0552699D"/>
    <w:rsid w:val="0570085E"/>
    <w:rsid w:val="0A0B505E"/>
    <w:rsid w:val="0AD105DB"/>
    <w:rsid w:val="0D17731C"/>
    <w:rsid w:val="0DD45030"/>
    <w:rsid w:val="157E2177"/>
    <w:rsid w:val="1E7235C6"/>
    <w:rsid w:val="20B4155F"/>
    <w:rsid w:val="20FC1496"/>
    <w:rsid w:val="21012ADE"/>
    <w:rsid w:val="21DE4B79"/>
    <w:rsid w:val="2E605174"/>
    <w:rsid w:val="3497608C"/>
    <w:rsid w:val="398C774F"/>
    <w:rsid w:val="3E76588D"/>
    <w:rsid w:val="413C7FAC"/>
    <w:rsid w:val="482D4892"/>
    <w:rsid w:val="513B074B"/>
    <w:rsid w:val="55DE2483"/>
    <w:rsid w:val="5E924CAB"/>
    <w:rsid w:val="637C1DF3"/>
    <w:rsid w:val="64973D9D"/>
    <w:rsid w:val="66AE36AE"/>
    <w:rsid w:val="6D316A6C"/>
    <w:rsid w:val="75720B3E"/>
    <w:rsid w:val="75746D53"/>
    <w:rsid w:val="76554700"/>
    <w:rsid w:val="7C9C466E"/>
    <w:rsid w:val="7DC5453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unhideWhenUsed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2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3"/>
    <w:semiHidden/>
    <w:qFormat/>
    <w:uiPriority w:val="99"/>
    <w:rPr>
      <w:sz w:val="18"/>
      <w:szCs w:val="18"/>
    </w:rPr>
  </w:style>
  <w:style w:type="paragraph" w:customStyle="1" w:styleId="15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1110</Words>
  <Characters>1604</Characters>
  <Lines>12</Lines>
  <Paragraphs>3</Paragraphs>
  <TotalTime>12</TotalTime>
  <ScaleCrop>false</ScaleCrop>
  <LinksUpToDate>false</LinksUpToDate>
  <CharactersWithSpaces>1722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2017-11-29T05:17:00Z</dcterms:created>
  <dc:creator>Administrator</dc:creator>
  <cp:lastModifiedBy>赵辉</cp:lastModifiedBy>
  <cp:lastPrinted>2025-05-13T01:42:00Z</cp:lastPrinted>
  <dcterms:modified xsi:type="dcterms:W3CDTF">2025-05-13T01:46:54Z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eyJoZGlkIjoiNDMzNDBjYmYwOTU0NGI1YTYxNTMzNzI4ZGQ0M2QwZDAiLCJ1c2VySWQiOiIyODY5MDcxNTkifQ==</vt:lpwstr>
  </property>
  <property fmtid="{D5CDD505-2E9C-101B-9397-08002B2CF9AE}" pid="4" name="ICV">
    <vt:lpwstr>B5E2C8DE67F54289A4C843981DDDE61B_13</vt:lpwstr>
  </property>
</Properties>
</file>