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48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center"/>
        <w:rPr>
          <w:rFonts w:ascii="Arial" w:hAnsi="Arial" w:cs="Arial"/>
          <w:b w:val="0"/>
          <w:bCs w:val="0"/>
          <w:i w:val="0"/>
          <w:iCs w:val="0"/>
        </w:rPr>
      </w:pPr>
      <w:r>
        <w:rPr>
          <w:rFonts w:ascii="sans-serif" w:hAnsi="sans-serif" w:eastAsia="sans-serif" w:cs="sans-serif"/>
          <w:b w:val="0"/>
          <w:bCs w:val="0"/>
          <w:i w:val="0"/>
          <w:iCs w:val="0"/>
          <w:caps w:val="0"/>
          <w:color w:val="0070C0"/>
          <w:spacing w:val="0"/>
          <w:sz w:val="30"/>
          <w:szCs w:val="30"/>
          <w:bdr w:val="none" w:color="auto" w:sz="0" w:space="0"/>
          <w:shd w:val="clear" w:fill="FFFFFF"/>
        </w:rPr>
        <w:t>EZ ECL Flyg  </w:t>
      </w:r>
      <w:r>
        <w:rPr>
          <w:rFonts w:hint="default" w:ascii="sans-serif" w:hAnsi="sans-serif" w:eastAsia="sans-serif" w:cs="sans-serif"/>
          <w:b w:val="0"/>
          <w:bCs w:val="0"/>
          <w:i w:val="0"/>
          <w:iCs w:val="0"/>
          <w:caps w:val="0"/>
          <w:color w:val="0070C0"/>
          <w:spacing w:val="0"/>
          <w:sz w:val="30"/>
          <w:szCs w:val="30"/>
          <w:bdr w:val="none" w:color="auto" w:sz="0" w:space="0"/>
          <w:shd w:val="clear" w:fill="FFFFFF"/>
        </w:rPr>
        <w:t>化学发光液 （飞克级）</w:t>
      </w:r>
    </w:p>
    <w:p w14:paraId="12FAC5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20" w:lineRule="atLeast"/>
        <w:ind w:left="0" w:right="0"/>
        <w:jc w:val="both"/>
        <w:textAlignment w:val="baseline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70C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t>产品描述</w:t>
      </w:r>
    </w:p>
    <w:p w14:paraId="3CEC0E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42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EZ ECL Flyg 化学发光液是一款目前*高灵敏度的增强型化学发光(ECL)HRP底物，可帮助用户在免疫印迹分析过程中实现低飞克级的蛋白检测(&lt;</w:t>
      </w:r>
      <w:r>
        <w:rPr>
          <w:rFonts w:hint="default" w:ascii="sans-serif" w:hAnsi="sans-serif" w:eastAsia="sans-serif" w:cs="sans-serif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1×</w:t>
      </w: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10</w:t>
      </w: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vertAlign w:val="superscript"/>
        </w:rPr>
        <w:t>-13、-14</w:t>
      </w: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g)，极其节省抗体。West Femo底物可为使用辣根过氧化物酶(HRP)偶联物的免疫印迹实验提供明亮的信号和飞克级检测灵敏度。该ECL底物能够兼容各种膜、封闭液和宽范围抗体稀释液，以出色性能、通用性和高性价比，满足用户的免疫印迹应用需求。</w:t>
      </w:r>
    </w:p>
    <w:p w14:paraId="68B2A7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33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West Femo底物的特点：</w:t>
      </w:r>
    </w:p>
    <w:p w14:paraId="48D9D9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33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• 灵敏度高：检测硝化纤维素膜或PVDF膜上飞克级的蛋白条带。</w:t>
      </w:r>
    </w:p>
    <w:p w14:paraId="347815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33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• 长信号持续时间：在条件优化情况下，经底物孵育的印迹条带能持续输出6~8 h的可检测光信号。</w:t>
      </w:r>
    </w:p>
    <w:p w14:paraId="5A5917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33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建议稀释浓度：</w:t>
      </w:r>
    </w:p>
    <w:p w14:paraId="7BEA27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33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• 一抗浓度：建议以1 µg/mL储存液稀释1:5,000至1:100,000倍</w:t>
      </w:r>
    </w:p>
    <w:p w14:paraId="42D442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33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• 二抗浓度：建议以1 µg/mL储存液稀释1:100,000至1:500,000倍</w:t>
      </w:r>
    </w:p>
    <w:tbl>
      <w:tblPr>
        <w:tblpPr w:vertAnchor="text" w:tblpXSpec="left"/>
        <w:tblW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03"/>
        <w:gridCol w:w="1893"/>
        <w:gridCol w:w="1920"/>
      </w:tblGrid>
      <w:tr w14:paraId="766375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89738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sans-serif" w:hAnsi="sans-serif" w:eastAsia="sans-serif" w:cs="sans-serif"/>
                <w:sz w:val="21"/>
                <w:szCs w:val="21"/>
                <w:bdr w:val="none" w:color="auto" w:sz="0" w:space="0"/>
              </w:rPr>
              <w:t>组分</w:t>
            </w:r>
          </w:p>
        </w:tc>
        <w:tc>
          <w:tcPr>
            <w:tcW w:w="21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20854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75"/>
              <w:jc w:val="center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45645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75"/>
              <w:jc w:val="center"/>
              <w:rPr>
                <w:rFonts w:hint="default" w:ascii="Arial" w:hAnsi="Arial" w:cs="Arial"/>
                <w:sz w:val="21"/>
                <w:szCs w:val="21"/>
              </w:rPr>
            </w:pPr>
          </w:p>
        </w:tc>
      </w:tr>
      <w:tr w14:paraId="4119E0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7A9EF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sans-serif" w:hAnsi="sans-serif" w:eastAsia="sans-serif" w:cs="sans-serif"/>
                <w:color w:val="000000"/>
                <w:sz w:val="21"/>
                <w:szCs w:val="21"/>
                <w:bdr w:val="none" w:color="auto" w:sz="0" w:space="0"/>
              </w:rPr>
              <w:t>飞克级</w:t>
            </w:r>
            <w:r>
              <w:rPr>
                <w:rFonts w:hint="default" w:ascii="sans-serif" w:hAnsi="sans-serif" w:eastAsia="sans-serif" w:cs="sans-serif"/>
                <w:sz w:val="21"/>
                <w:szCs w:val="21"/>
                <w:bdr w:val="none" w:color="auto" w:sz="0" w:space="0"/>
              </w:rPr>
              <w:t>A液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B03CC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75"/>
              <w:jc w:val="center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sans-serif" w:hAnsi="sans-serif" w:eastAsia="sans-serif" w:cs="sans-serif"/>
                <w:sz w:val="21"/>
                <w:szCs w:val="21"/>
                <w:bdr w:val="none" w:color="auto" w:sz="0" w:space="0"/>
              </w:rPr>
              <w:t>50 mL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E65DF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75"/>
              <w:jc w:val="center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sans-serif" w:hAnsi="sans-serif" w:eastAsia="sans-serif" w:cs="sans-serif"/>
                <w:sz w:val="21"/>
                <w:szCs w:val="21"/>
                <w:bdr w:val="none" w:color="auto" w:sz="0" w:space="0"/>
              </w:rPr>
              <w:t>250mL</w:t>
            </w:r>
          </w:p>
        </w:tc>
      </w:tr>
      <w:tr w14:paraId="02884B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7A5BB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sans-serif" w:hAnsi="sans-serif" w:eastAsia="sans-serif" w:cs="sans-serif"/>
                <w:color w:val="000000"/>
                <w:sz w:val="21"/>
                <w:szCs w:val="21"/>
                <w:bdr w:val="none" w:color="auto" w:sz="0" w:space="0"/>
              </w:rPr>
              <w:t>飞克级</w:t>
            </w:r>
            <w:r>
              <w:rPr>
                <w:rFonts w:hint="default" w:ascii="sans-serif" w:hAnsi="sans-serif" w:eastAsia="sans-serif" w:cs="sans-serif"/>
                <w:sz w:val="21"/>
                <w:szCs w:val="21"/>
                <w:bdr w:val="none" w:color="auto" w:sz="0" w:space="0"/>
              </w:rPr>
              <w:t>B液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BFE93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75"/>
              <w:jc w:val="center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sans-serif" w:hAnsi="sans-serif" w:eastAsia="sans-serif" w:cs="sans-serif"/>
                <w:sz w:val="21"/>
                <w:szCs w:val="21"/>
                <w:bdr w:val="none" w:color="auto" w:sz="0" w:space="0"/>
              </w:rPr>
              <w:t>50 mL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AB546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 w:firstLine="75"/>
              <w:jc w:val="center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sans-serif" w:hAnsi="sans-serif" w:eastAsia="sans-serif" w:cs="sans-serif"/>
                <w:sz w:val="21"/>
                <w:szCs w:val="21"/>
                <w:bdr w:val="none" w:color="auto" w:sz="0" w:space="0"/>
              </w:rPr>
              <w:t>250mL</w:t>
            </w:r>
          </w:p>
        </w:tc>
      </w:tr>
    </w:tbl>
    <w:p w14:paraId="0FC4DF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/>
        <w:jc w:val="both"/>
        <w:textAlignment w:val="baseline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70C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t>运输与保存</w:t>
      </w:r>
    </w:p>
    <w:p w14:paraId="05CAF7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0" w:right="0" w:firstLine="330"/>
        <w:jc w:val="left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蓝冰运输。4℃避光干燥保存，有效期12个月。</w:t>
      </w:r>
    </w:p>
    <w:p w14:paraId="6DA8AA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20" w:lineRule="atLeast"/>
        <w:ind w:left="0" w:right="0"/>
        <w:jc w:val="both"/>
        <w:textAlignment w:val="baseline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70C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t>使用方法</w:t>
      </w:r>
    </w:p>
    <w:p w14:paraId="6A9DA7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1. 取出印记膜，加入合适的封闭液在温室下孵育20~60 min，同时振荡，以封闭膜上非特异性蛋白结合位点。</w:t>
      </w:r>
    </w:p>
    <w:p w14:paraId="5EE3FF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2. 将膜从封闭液中取出，与一抗工作液在温室孵育1 h，同时振荡；或在28℃ 孵育过夜，不振荡。</w:t>
      </w:r>
    </w:p>
    <w:p w14:paraId="461BA4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3. 将足量的洗涤缓冲液加至膜上，保证缓冲液将膜*全覆盖。振荡孵育≥5 min，更换洗涤缓冲液并重复该步骤4~6次。增加洗涤缓冲液体积，洗涤次数和洗涤时间有助于降低背景信号。【注】：①孵育前，膜在洗涤缓冲液中的短暂淋洗会提高洗涤效率。②按前文建议的HRP标记二抗稀释度非常重要的。</w:t>
      </w:r>
    </w:p>
    <w:p w14:paraId="2F40C9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4. 将HRP标记的二抗工作液与膜在温室孵育1 h，同时振荡。</w:t>
      </w:r>
    </w:p>
    <w:p w14:paraId="64F1E0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5. 重复步骤3，以除去未结合的HRP标记二抗。【注】：膜与HRP标记二抗孵育后必须进行彻*洗涤。</w:t>
      </w:r>
    </w:p>
    <w:p w14:paraId="0C0F90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6. 将A溶液与B液等比例混合，制备成工作液。每cm</w:t>
      </w: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膜使用0.01~0.1 mL工作液，工作液可以在温室下稳定8 h。【注】：暴露于日光或其他</w:t>
      </w:r>
      <w:bookmarkStart w:id="0" w:name="_GoBack"/>
      <w:bookmarkEnd w:id="0"/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强光下可能损害工作液，为获得*佳结果，请将此工作液保存在琥珀色瓶中光；实验室的常见照明不会损害工作液。</w:t>
      </w:r>
    </w:p>
    <w:p w14:paraId="5C70EE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7. 将印记膜在工作液中孵育5 min。从工作液中取出印记膜，并置于一个塑料片或清洁的塑料纸（膜）中，用一张吸水纸吸除多余的液体，并从印记和塑料纸之间小心地压出气泡。</w:t>
      </w:r>
    </w:p>
    <w:p w14:paraId="311B56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8. 将包在塑料纸（膜）中的印记膜置于胶片暗盒中，蛋白质面朝上，除适用于胶片曝光的灯（如红色安全灯）之外，关闭所有的灯。【注】：①胶片必须在曝光期间保持干燥；②确保将多余的底物从膜和塑料纸上*全去除；③在整个胶片处理期间，使用手套。</w:t>
      </w:r>
    </w:p>
    <w:p w14:paraId="0A0957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9. 将X光胶片置于膜的上面。建议*一次曝光60 s。之后可调整曝光时间以达到*佳结果。化学发光反应在底物孵育后的前5~30 min期间是*强烈的。这一反应可以持续几个小时，但强度会随时间下降，如有底物孵育后较长时间后曝光，曝光时间可能需要延长以获得较强信号。如果使用磷光存储成像设备（如Bio-Rad的分子成像仪系统）或CCD照相机可能需要较长的曝光时间。【注】：胶片与膜之间的任何移动可能在胶片上造成人为的非特异信号。</w:t>
      </w:r>
    </w:p>
    <w:p w14:paraId="4AD701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330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10. 使用合适的显影剂和定影剂对胶片进行显影。如果信号太强，则缩短曝光时间或将印记膜进行剥离并降低抗体浓度重新检测。</w:t>
      </w:r>
    </w:p>
    <w:p w14:paraId="3866F2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20" w:lineRule="atLeast"/>
        <w:ind w:left="0" w:right="0"/>
        <w:jc w:val="both"/>
        <w:textAlignment w:val="baseline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70C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t>注意事项</w:t>
      </w:r>
    </w:p>
    <w:p w14:paraId="328000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1. 本产品科学实验研究使用，不得用于临床诊断、治疗等领域。</w:t>
      </w:r>
    </w:p>
    <w:p w14:paraId="4FC8F6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2. 为获得*佳效果，必须优化该系统的全部组分，包括样品量、一抗和二抗浓度以及膜和封闭试剂的类型。</w:t>
      </w:r>
    </w:p>
    <w:p w14:paraId="6338FD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3. 使用本产品比使用沉淀比色HRP底物检测所需的抗体浓度低。为优化抗体浓度，请进行一次系统的点印迹分析。</w:t>
      </w:r>
    </w:p>
    <w:p w14:paraId="4652A8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4. 没有一种封闭试剂对所有系统而言都是*佳的，所以为每一个免疫印迹检测系统找到最合适的封闭缓冲液非常必需。封闭试剂有可能与抗体产生交叉反应，导致出现非特异性信号。封闭缓冲液同时也会影响系统的灵敏性。当从一种底物转换为另一种底物时，有时会出现信号衰减或背景增加的现象，原因可能是封闭缓冲液不适合新的检测系统。</w:t>
      </w:r>
    </w:p>
    <w:p w14:paraId="0B4923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5. 使用亲和素/生物素检测系统时，避免使用牛奶作为封闭试剂，因为牛奶中含有不定量的内源性生物素，会导致高背景信号。</w:t>
      </w:r>
    </w:p>
    <w:p w14:paraId="4C61FD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6. 保证洗涤缓冲液、封闭缓冲液、抗体溶液和底物工作液的使用体积，以确保在整个实验过程中印迹膜完*被液体覆盖，避免膜变干。增大封闭缓冲液及洗涤缓冲液的使用量可以降低非特异性的信号。</w:t>
      </w:r>
    </w:p>
    <w:p w14:paraId="47315B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7. 为获得*佳效果，在孵育步骤请使用摇床。</w:t>
      </w:r>
    </w:p>
    <w:p w14:paraId="5AA297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8. 将Tween20(终浓度0.05~0.1%)加入封闭缓冲液和稀释的抗体溶液，以降低非特异信号。使用高品质的产品，如去污剂。它保存在安瓿中，过氧化物和其他杂质含量很低。</w:t>
      </w:r>
    </w:p>
    <w:p w14:paraId="776DD8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226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9. 不要使用叠氮钠作为缓冲液的防腐剂。叠氮钠是HRP的抑制。</w:t>
      </w:r>
    </w:p>
    <w:p w14:paraId="7FE41B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330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10. 避免手与膜直接接触，实验过程应戴手套或使用干净的镊子。</w:t>
      </w:r>
    </w:p>
    <w:p w14:paraId="18808C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330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11. 所有设备必须清洁且不沾染外来物质。金属器械（如剪刀）不得具有可见的锈迹。锈迹可能导致斑点形成和高背景。</w:t>
      </w:r>
    </w:p>
    <w:p w14:paraId="71AB43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330" w:right="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sans-serif" w:hAnsi="sans-serif" w:eastAsia="sans-serif" w:cs="sans-serif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12. 底物工作液在室温下可稳定8 h。日光或任何其他强光下可能损害底物，为获得*佳结果，将底物工作液保存在琥珀色瓶中，并避免长期暴漏在任何强光下，短时间暴漏于实验室常规照明不会损害该工作液。</w:t>
      </w:r>
    </w:p>
    <w:p w14:paraId="0BAA79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10" w:lineRule="atLeast"/>
        <w:ind w:left="0" w:right="0"/>
        <w:jc w:val="both"/>
        <w:rPr>
          <w:rFonts w:hint="default" w:ascii="Arial" w:hAnsi="Arial" w:cs="Arial"/>
          <w:b w:val="0"/>
          <w:bCs w:val="0"/>
          <w:i w:val="0"/>
          <w:iCs w:val="0"/>
          <w:sz w:val="21"/>
          <w:szCs w:val="21"/>
        </w:rPr>
      </w:pPr>
    </w:p>
    <w:p w14:paraId="3A36B4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10" w:lineRule="atLeast"/>
        <w:ind w:left="0" w:right="0"/>
        <w:jc w:val="both"/>
        <w:rPr>
          <w:rFonts w:hint="default" w:ascii="Arial" w:hAnsi="Arial" w:cs="Arial"/>
          <w:b w:val="0"/>
          <w:bCs w:val="0"/>
          <w:i w:val="0"/>
          <w:iCs w:val="0"/>
          <w:sz w:val="21"/>
          <w:szCs w:val="21"/>
        </w:rPr>
      </w:pPr>
    </w:p>
    <w:p w14:paraId="48AF4D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9F9F9"/>
        <w:spacing w:beforeAutospacing="0" w:afterAutospacing="0" w:line="240" w:lineRule="auto"/>
        <w:ind w:left="0" w:right="0" w:firstLine="0"/>
        <w:jc w:val="center"/>
        <w:rPr>
          <w:rFonts w:hint="default" w:ascii="Arial" w:hAnsi="Arial" w:cs="Arial"/>
          <w:caps w:val="0"/>
          <w:color w:val="333333"/>
          <w:spacing w:val="0"/>
          <w:sz w:val="21"/>
          <w:szCs w:val="21"/>
        </w:rPr>
      </w:pPr>
    </w:p>
    <w:p w14:paraId="7ACC94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93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2026-05-28T01:18:41Z</dcterms:created>
  <dc:creator>ADMIN</dc:creator>
  <cp:lastModifiedBy>ADMIN</cp:lastModifiedBy>
  <cp:lastPrinted>2026-05-28T01:22:00Z</cp:lastPrinted>
  <dcterms:modified xsi:type="dcterms:W3CDTF">2026-05-28T01:32:42Z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B4D4E883F7A14E31B8A41C7CF6ED95A2_12</vt:lpwstr>
  </property>
</Properties>
</file>