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06"/>
      </w:tblGrid>
      <w:tr w14:paraId="17223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5" w:hRule="atLeast"/>
        </w:trPr>
        <w:tc>
          <w:tcPr>
            <w:tcW w:w="0" w:type="auto"/>
            <w:shd w:val="clear" w:color="auto" w:fill="FFFFFF"/>
            <w:vAlign w:val="center"/>
          </w:tcPr>
          <w:p w14:paraId="68538599">
            <w:pPr>
              <w:keepNext w:val="0"/>
              <w:keepLines w:val="0"/>
              <w:widowControl/>
              <w:suppressLineNumbers w:val="0"/>
              <w:spacing w:before="0" w:beforeAutospacing="0" w:after="0" w:afterAutospacing="0" w:line="270" w:lineRule="atLeast"/>
              <w:ind w:left="0" w:right="0"/>
              <w:jc w:val="center"/>
              <w:rPr>
                <w:rFonts w:ascii="微软雅黑" w:hAnsi="微软雅黑" w:eastAsia="微软雅黑" w:cs="微软雅黑"/>
                <w:i w:val="0"/>
                <w:iCs w:val="0"/>
                <w:caps w:val="0"/>
                <w:color w:val="000000"/>
                <w:spacing w:val="0"/>
                <w:sz w:val="21"/>
                <w:szCs w:val="21"/>
              </w:rPr>
            </w:pPr>
            <w:r>
              <w:rPr>
                <w:rStyle w:val="4"/>
                <w:rFonts w:hint="eastAsia" w:ascii="微软雅黑" w:hAnsi="微软雅黑" w:eastAsia="微软雅黑" w:cs="微软雅黑"/>
                <w:b/>
                <w:bCs/>
                <w:i w:val="0"/>
                <w:iCs w:val="0"/>
                <w:caps w:val="0"/>
                <w:color w:val="5C5D5C"/>
                <w:spacing w:val="0"/>
                <w:kern w:val="0"/>
                <w:sz w:val="27"/>
                <w:szCs w:val="27"/>
                <w:bdr w:val="none" w:color="auto" w:sz="0" w:space="0"/>
                <w:lang w:val="en-US" w:eastAsia="zh-CN" w:bidi="ar"/>
              </w:rPr>
              <w:t>麦胚凝集素罗丹明标记物</w:t>
            </w:r>
          </w:p>
        </w:tc>
      </w:tr>
      <w:tr w14:paraId="5B81A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shd w:val="clear" w:color="auto" w:fill="FFFFFF"/>
            <w:vAlign w:val="center"/>
          </w:tcPr>
          <w:p w14:paraId="095EBB5B">
            <w:pPr>
              <w:keepNext w:val="0"/>
              <w:keepLines w:val="0"/>
              <w:widowControl/>
              <w:suppressLineNumbers w:val="0"/>
              <w:spacing w:before="0" w:beforeAutospacing="0" w:after="0" w:afterAutospacing="0" w:line="27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bdr w:val="none" w:color="auto" w:sz="0" w:space="0"/>
                <w:lang w:val="en-US" w:eastAsia="zh-CN" w:bidi="ar"/>
              </w:rPr>
              <w:t> </w:t>
            </w:r>
          </w:p>
          <w:p w14:paraId="1EE171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b/>
                <w:bCs/>
                <w:i w:val="0"/>
                <w:iCs w:val="0"/>
                <w:caps w:val="0"/>
                <w:color w:val="000000"/>
                <w:spacing w:val="0"/>
                <w:kern w:val="0"/>
                <w:sz w:val="18"/>
                <w:szCs w:val="18"/>
                <w:bdr w:val="none" w:color="auto" w:sz="0" w:space="0"/>
                <w:lang w:val="en-US" w:eastAsia="zh-CN" w:bidi="ar"/>
              </w:rPr>
              <w:t>产品简介</w:t>
            </w:r>
          </w:p>
          <w:p w14:paraId="1FEC78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小麦凝集素（Lectin from Triticum Vulgaris）因提取自小麦胚芽惯称麦胚凝集素（Wheat Germ Agglutinin，WGA），为同型二聚体糖蛋白，分子量约35kDa，单体分子量约17-18 kDa，最大光吸收272nm，摩尔消光系数（Em）1.09×10</w:t>
            </w:r>
            <w:r>
              <w:rPr>
                <w:rFonts w:hint="eastAsia" w:ascii="宋体" w:hAnsi="宋体" w:eastAsia="宋体" w:cs="宋体"/>
                <w:i w:val="0"/>
                <w:iCs w:val="0"/>
                <w:caps w:val="0"/>
                <w:color w:val="000000"/>
                <w:spacing w:val="0"/>
                <w:kern w:val="0"/>
                <w:sz w:val="18"/>
                <w:szCs w:val="18"/>
                <w:bdr w:val="none" w:color="auto" w:sz="0" w:space="0"/>
                <w:vertAlign w:val="superscript"/>
                <w:lang w:val="en-US" w:eastAsia="zh-CN" w:bidi="ar"/>
              </w:rPr>
              <w:t>5</w:t>
            </w:r>
            <w:r>
              <w:rPr>
                <w:rFonts w:hint="eastAsia" w:ascii="宋体" w:hAnsi="宋体" w:eastAsia="宋体" w:cs="宋体"/>
                <w:i w:val="0"/>
                <w:iCs w:val="0"/>
                <w:caps w:val="0"/>
                <w:color w:val="000000"/>
                <w:spacing w:val="0"/>
                <w:kern w:val="0"/>
                <w:sz w:val="18"/>
                <w:szCs w:val="18"/>
                <w:bdr w:val="none" w:color="auto" w:sz="0" w:space="0"/>
                <w:lang w:val="en-US" w:eastAsia="zh-CN" w:bidi="ar"/>
              </w:rPr>
              <w:t>，280 nm消光系数（A1%）为15.0。WGA可特异性结合N-乙酰-β-D-氨基葡萄糖及其低聚物，每个亚单位存在两个糖结合位点，可凝集红细胞、恶性细胞以及细菌，并抑制真菌的生长，但无血型特异性。</w:t>
            </w:r>
          </w:p>
          <w:p w14:paraId="38E1BD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麦胚凝集素罗丹明标记物（Wheat Germ Agglutinin </w:t>
            </w:r>
            <w:r>
              <w:rPr>
                <w:rFonts w:hint="eastAsia" w:ascii="宋体" w:hAnsi="宋体" w:eastAsia="宋体" w:cs="宋体"/>
                <w:i w:val="0"/>
                <w:iCs w:val="0"/>
                <w:caps w:val="0"/>
                <w:color w:val="000000"/>
                <w:spacing w:val="0"/>
                <w:kern w:val="0"/>
                <w:sz w:val="18"/>
                <w:szCs w:val="18"/>
                <w:bdr w:val="none" w:color="auto" w:sz="0" w:space="0"/>
                <w:shd w:val="clear" w:fill="FFFFFF"/>
                <w:lang w:val="en-US" w:eastAsia="zh-CN" w:bidi="ar"/>
              </w:rPr>
              <w:t>Rhodamine</w:t>
            </w:r>
            <w:r>
              <w:rPr>
                <w:rFonts w:hint="eastAsia" w:ascii="宋体" w:hAnsi="宋体" w:eastAsia="宋体" w:cs="宋体"/>
                <w:i w:val="0"/>
                <w:iCs w:val="0"/>
                <w:caps w:val="0"/>
                <w:color w:val="000000"/>
                <w:spacing w:val="0"/>
                <w:kern w:val="0"/>
                <w:sz w:val="18"/>
                <w:szCs w:val="18"/>
                <w:bdr w:val="none" w:color="auto" w:sz="0" w:space="0"/>
                <w:lang w:val="en-US" w:eastAsia="zh-CN" w:bidi="ar"/>
              </w:rPr>
              <w:t> Conjugate，WGA-TMR）以亲和层析纯化的麦胚凝集素（Wheat Germ Agglutinin，WGA）和</w:t>
            </w:r>
            <w:r>
              <w:rPr>
                <w:rFonts w:hint="eastAsia" w:ascii="宋体" w:hAnsi="宋体" w:eastAsia="宋体" w:cs="宋体"/>
                <w:i w:val="0"/>
                <w:iCs w:val="0"/>
                <w:caps w:val="0"/>
                <w:color w:val="000000"/>
                <w:spacing w:val="0"/>
                <w:kern w:val="0"/>
                <w:sz w:val="18"/>
                <w:szCs w:val="18"/>
                <w:bdr w:val="none" w:color="auto" w:sz="0" w:space="0"/>
                <w:shd w:val="clear" w:fill="FFFFFF"/>
                <w:lang w:val="en-US" w:eastAsia="zh-CN" w:bidi="ar"/>
              </w:rPr>
              <w:t>四甲基罗丹明（Tetramethylrhodamine，TMR，TAMRA）</w:t>
            </w:r>
            <w:r>
              <w:rPr>
                <w:rFonts w:hint="eastAsia" w:ascii="宋体" w:hAnsi="宋体" w:eastAsia="宋体" w:cs="宋体"/>
                <w:i w:val="0"/>
                <w:iCs w:val="0"/>
                <w:caps w:val="0"/>
                <w:color w:val="000000"/>
                <w:spacing w:val="0"/>
                <w:kern w:val="0"/>
                <w:sz w:val="18"/>
                <w:szCs w:val="18"/>
                <w:bdr w:val="none" w:color="auto" w:sz="0" w:space="0"/>
                <w:lang w:val="en-US" w:eastAsia="zh-CN" w:bidi="ar"/>
              </w:rPr>
              <w:t>为原料，采用化学交联法制备的标记物。本产品溶于PBS(pH7.3)中，蛋白浓度≥ 1 mg/ml，含有稳定剂，可用于WGA免疫荧光检测、流式细胞分析和生物大分子相互作用的分析测定、靶向药物等的研究。</w:t>
            </w:r>
          </w:p>
          <w:p w14:paraId="15A8E0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b/>
                <w:bCs/>
                <w:i w:val="0"/>
                <w:iCs w:val="0"/>
                <w:caps w:val="0"/>
                <w:color w:val="000000"/>
                <w:spacing w:val="0"/>
                <w:kern w:val="0"/>
                <w:sz w:val="18"/>
                <w:szCs w:val="18"/>
                <w:bdr w:val="none" w:color="auto" w:sz="0" w:space="0"/>
                <w:lang w:val="en-US" w:eastAsia="zh-CN" w:bidi="ar"/>
              </w:rPr>
              <w:t>包装</w:t>
            </w:r>
          </w:p>
          <w:tbl>
            <w:tblPr>
              <w:tblW w:w="54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autofit"/>
              <w:tblCellMar>
                <w:top w:w="0" w:type="dxa"/>
                <w:left w:w="0" w:type="dxa"/>
                <w:bottom w:w="0" w:type="dxa"/>
                <w:right w:w="0" w:type="dxa"/>
              </w:tblCellMar>
            </w:tblPr>
            <w:tblGrid>
              <w:gridCol w:w="3142"/>
              <w:gridCol w:w="1214"/>
              <w:gridCol w:w="1064"/>
            </w:tblGrid>
            <w:tr w14:paraId="2426D7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CellMar>
                  <w:top w:w="0" w:type="dxa"/>
                  <w:left w:w="0" w:type="dxa"/>
                  <w:bottom w:w="0" w:type="dxa"/>
                  <w:right w:w="0" w:type="dxa"/>
                </w:tblCellMar>
              </w:tblPrEx>
              <w:trPr>
                <w:trHeight w:val="390" w:hRule="atLeast"/>
                <w:jc w:val="center"/>
              </w:trPr>
              <w:tc>
                <w:tcPr>
                  <w:tcW w:w="3150" w:type="dxa"/>
                  <w:tcBorders>
                    <w:top w:val="single" w:color="000000" w:sz="6" w:space="0"/>
                    <w:left w:val="single" w:color="000000" w:sz="6" w:space="0"/>
                    <w:bottom w:val="single" w:color="000000" w:sz="6" w:space="0"/>
                    <w:right w:val="single" w:color="000000" w:sz="6" w:space="0"/>
                  </w:tcBorders>
                  <w:shd w:val="clear" w:color="auto" w:fill="C5DDE3"/>
                  <w:vAlign w:val="center"/>
                </w:tcPr>
                <w:p w14:paraId="21F4E7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产品编号</w:t>
                  </w:r>
                </w:p>
              </w:tc>
              <w:tc>
                <w:tcPr>
                  <w:tcW w:w="1215" w:type="dxa"/>
                  <w:tcBorders>
                    <w:top w:val="single" w:color="000000" w:sz="6" w:space="0"/>
                    <w:left w:val="single" w:color="000000" w:sz="6" w:space="0"/>
                    <w:bottom w:val="single" w:color="000000" w:sz="6" w:space="0"/>
                    <w:right w:val="single" w:color="000000" w:sz="6" w:space="0"/>
                  </w:tcBorders>
                  <w:shd w:val="clear" w:color="auto" w:fill="C5DDE3"/>
                  <w:vAlign w:val="center"/>
                </w:tcPr>
                <w:p w14:paraId="0494C7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Theme="minorEastAsia"/>
                      <w:lang w:val="en-US" w:eastAsia="zh-CN"/>
                    </w:rPr>
                  </w:pPr>
                  <w:r>
                    <w:rPr>
                      <w:rFonts w:hint="eastAsia"/>
                      <w:lang w:val="en-US" w:eastAsia="zh-CN"/>
                    </w:rPr>
                    <w:t>FH81252</w:t>
                  </w:r>
                </w:p>
              </w:tc>
              <w:tc>
                <w:tcPr>
                  <w:tcW w:w="1050" w:type="dxa"/>
                  <w:tcBorders>
                    <w:top w:val="single" w:color="000000" w:sz="6" w:space="0"/>
                    <w:left w:val="single" w:color="000000" w:sz="6" w:space="0"/>
                    <w:bottom w:val="single" w:color="000000" w:sz="6" w:space="0"/>
                    <w:right w:val="single" w:color="000000" w:sz="6" w:space="0"/>
                  </w:tcBorders>
                  <w:shd w:val="clear" w:color="auto" w:fill="C5DDE3"/>
                  <w:vAlign w:val="center"/>
                </w:tcPr>
                <w:p w14:paraId="1F99B9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color w:val="000000"/>
                      <w:kern w:val="0"/>
                      <w:sz w:val="18"/>
                      <w:szCs w:val="18"/>
                      <w:bdr w:val="none" w:color="auto" w:sz="0" w:space="0"/>
                      <w:lang w:val="en-US" w:eastAsia="zh-CN" w:bidi="ar"/>
                    </w:rPr>
                    <w:t>FH81252</w:t>
                  </w:r>
                </w:p>
              </w:tc>
            </w:tr>
            <w:tr w14:paraId="27B39A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CellMar>
                  <w:top w:w="0" w:type="dxa"/>
                  <w:left w:w="0" w:type="dxa"/>
                  <w:bottom w:w="0" w:type="dxa"/>
                  <w:right w:w="0" w:type="dxa"/>
                </w:tblCellMar>
              </w:tblPrEx>
              <w:trPr>
                <w:trHeight w:val="390" w:hRule="atLeast"/>
                <w:jc w:val="center"/>
              </w:trPr>
              <w:tc>
                <w:tcPr>
                  <w:tcW w:w="315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5DD9C8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18"/>
                      <w:szCs w:val="18"/>
                      <w:bdr w:val="none" w:color="auto" w:sz="0" w:space="0"/>
                      <w:lang w:val="en-US" w:eastAsia="zh-CN" w:bidi="ar"/>
                    </w:rPr>
                    <w:t>麦胚凝集素罗丹明标记物</w:t>
                  </w:r>
                </w:p>
              </w:tc>
              <w:tc>
                <w:tcPr>
                  <w:tcW w:w="121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122BE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200ug</w:t>
                  </w:r>
                </w:p>
              </w:tc>
              <w:tc>
                <w:tcPr>
                  <w:tcW w:w="105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B6167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500ug</w:t>
                  </w:r>
                </w:p>
              </w:tc>
            </w:tr>
            <w:tr w14:paraId="7B3FBD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CellMar>
                  <w:top w:w="0" w:type="dxa"/>
                  <w:left w:w="0" w:type="dxa"/>
                  <w:bottom w:w="0" w:type="dxa"/>
                  <w:right w:w="0" w:type="dxa"/>
                </w:tblCellMar>
              </w:tblPrEx>
              <w:trPr>
                <w:trHeight w:val="390" w:hRule="atLeast"/>
                <w:jc w:val="center"/>
              </w:trPr>
              <w:tc>
                <w:tcPr>
                  <w:tcW w:w="315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4FDF7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说明书</w:t>
                  </w:r>
                </w:p>
              </w:tc>
              <w:tc>
                <w:tcPr>
                  <w:tcW w:w="2280"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14:paraId="589396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1份</w:t>
                  </w:r>
                </w:p>
              </w:tc>
            </w:tr>
          </w:tbl>
          <w:p w14:paraId="38DCF2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b/>
                <w:bCs/>
                <w:i w:val="0"/>
                <w:iCs w:val="0"/>
                <w:caps w:val="0"/>
                <w:color w:val="000000"/>
                <w:spacing w:val="0"/>
                <w:kern w:val="0"/>
                <w:sz w:val="18"/>
                <w:szCs w:val="18"/>
                <w:bdr w:val="none" w:color="auto" w:sz="0" w:space="0"/>
                <w:lang w:val="en-US" w:eastAsia="zh-CN" w:bidi="ar"/>
              </w:rPr>
              <w:t>保存</w:t>
            </w:r>
          </w:p>
          <w:p w14:paraId="0F48A2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425"/>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-20℃或以下温度保存，勿反复冻融或0℃以上久置。</w:t>
            </w:r>
          </w:p>
          <w:p w14:paraId="114384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b/>
                <w:bCs/>
                <w:i w:val="0"/>
                <w:iCs w:val="0"/>
                <w:caps w:val="0"/>
                <w:color w:val="000000"/>
                <w:spacing w:val="0"/>
                <w:kern w:val="0"/>
                <w:sz w:val="18"/>
                <w:szCs w:val="18"/>
                <w:bdr w:val="none" w:color="auto" w:sz="0" w:space="0"/>
                <w:lang w:val="en-US" w:eastAsia="zh-CN" w:bidi="ar"/>
              </w:rPr>
              <w:t>使用方法</w:t>
            </w:r>
          </w:p>
          <w:p w14:paraId="7AA6B8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用于免疫荧光检测、流式细胞分析和生物大分子相互作用的分析测定和靶向药物等的研究。最佳工作浓度请自行确定。</w:t>
            </w:r>
          </w:p>
        </w:tc>
      </w:tr>
    </w:tbl>
    <w:p w14:paraId="052F33A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007B56"/>
    <w:rsid w:val="29005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2025-09-17T08:15:13Z</dcterms:created>
  <dc:creator>ADMIN</dc:creator>
  <cp:lastModifiedBy>赵辉</cp:lastModifiedBy>
  <cp:lastPrinted>2025-09-17T08:17:17Z</cp:lastPrinted>
  <dcterms:modified xsi:type="dcterms:W3CDTF">2025-09-17T08:18:29Z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eyJoZGlkIjoiMmY0Mzk4ZDY4OTk2MjMzMDdiNDdlMjliOGVkMTlkNzgiLCJ1c2VySWQiOiIyODY5MDcxNTkifQ==</vt:lpwstr>
  </property>
  <property fmtid="{D5CDD505-2E9C-101B-9397-08002B2CF9AE}" pid="4" name="ICV">
    <vt:lpwstr>B1200A81CF244DD3B5452767321D0FEF_12</vt:lpwstr>
  </property>
</Properties>
</file>