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新增用地砌筑围墙项目招标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 xml:space="preserve">  </w:t>
      </w: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left="4109" w:leftChars="909" w:hanging="2200" w:hangingChars="5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201</w:t>
      </w:r>
      <w:r>
        <w:rPr>
          <w:rFonts w:hint="eastAsia" w:ascii="宋体" w:hAnsi="宋体"/>
          <w:sz w:val="52"/>
          <w:szCs w:val="52"/>
          <w:lang w:val="en-US" w:eastAsia="zh-CN"/>
        </w:rPr>
        <w:t>9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3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pStyle w:val="9"/>
        <w:spacing w:line="360" w:lineRule="auto"/>
        <w:ind w:left="3550" w:firstLine="0" w:firstLineChars="0"/>
        <w:rPr>
          <w:b/>
          <w:sz w:val="44"/>
        </w:rPr>
      </w:pP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8"/>
        <w:tblW w:w="8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工程名称：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新钢金属钢丝厂新增用地砌筑围墙项目招标采购</w:t>
            </w:r>
            <w:r>
              <w:rPr>
                <w:rFonts w:hint="eastAsia" w:cs="Arial"/>
                <w:b/>
                <w:bCs/>
                <w:color w:val="000000"/>
                <w:sz w:val="24"/>
                <w:lang w:eastAsia="zh-CN"/>
              </w:rPr>
              <w:t>（附图纸）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建设地点：新余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国家高新技术产业开发区南源路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工程造价：投标单位自报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发包内容：详见技术部分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发包方式：包工包料 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合同签订，主材进场后付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30%，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项目完工并验收合格后付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0%，留10%质保金一年后若无质量异议无息退还；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同时，乙方必须预交合同总额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10%的履约保证金，正常交付后履约保证金无息返还。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供应商也可提出自己的付款要求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质量标准：符合国家、行业有关验收标准及业主要求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计划工期：合同签订后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60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日完成，供应商也可提出自己认为合理的工期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201</w:t>
            </w:r>
            <w:r>
              <w:rPr>
                <w:rFonts w:hint="eastAsia" w:cs="Arial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25</w:t>
            </w:r>
            <w:r>
              <w:rPr>
                <w:rFonts w:hint="eastAsia" w:ascii="Calibri" w:hAnsi="Calibri" w:cs="Arial"/>
                <w:sz w:val="24"/>
              </w:rPr>
              <w:t>—</w:t>
            </w:r>
            <w:r>
              <w:rPr>
                <w:rFonts w:hint="eastAsia" w:cs="Arial"/>
                <w:sz w:val="24"/>
                <w:lang w:val="en-US" w:eastAsia="zh-CN"/>
              </w:rPr>
              <w:t>29</w:t>
            </w:r>
            <w:r>
              <w:rPr>
                <w:rFonts w:hint="eastAsia" w:ascii="Calibri" w:hAnsi="Calibri" w:cs="Arial"/>
                <w:sz w:val="24"/>
              </w:rPr>
              <w:t>日，可以以邮件形式进行答疑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刘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4"/>
                <w:lang w:eastAsia="zh-CN"/>
              </w:rPr>
              <w:t>皖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50</w:t>
            </w:r>
            <w:r>
              <w:rPr>
                <w:rFonts w:hint="eastAsia" w:ascii="Calibri" w:hAnsi="Calibri" w:cs="Arial"/>
                <w:sz w:val="24"/>
              </w:rPr>
              <w:t>790</w:t>
            </w:r>
            <w:r>
              <w:rPr>
                <w:rFonts w:hint="eastAsia" w:cs="Arial"/>
                <w:sz w:val="24"/>
                <w:lang w:val="en-US" w:eastAsia="zh-CN"/>
              </w:rPr>
              <w:t>7838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6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7：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实际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招标方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201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9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1．招标内容：</w:t>
      </w:r>
    </w:p>
    <w:p>
      <w:pPr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新余新钢金属制品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新增用地围墙工程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主要工程内容包括：</w:t>
      </w:r>
    </w:p>
    <w:p>
      <w:pPr>
        <w:spacing w:line="400" w:lineRule="exact"/>
        <w:ind w:left="0" w:leftChars="0" w:firstLine="241" w:firstLineChars="1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1.1图纸内工作量</w:t>
      </w:r>
    </w:p>
    <w:p>
      <w:pPr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按新钢设计院设计的施工图（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19028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）施工</w:t>
      </w:r>
    </w:p>
    <w:p>
      <w:pPr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可能存在的现场调整有3处：</w:t>
      </w:r>
    </w:p>
    <w:p>
      <w:pPr>
        <w:numPr>
          <w:ilvl w:val="0"/>
          <w:numId w:val="3"/>
        </w:numPr>
        <w:spacing w:line="400" w:lineRule="exact"/>
        <w:ind w:left="60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西边缺口处根据实际情况可采用斜线拉直施工。</w:t>
      </w:r>
    </w:p>
    <w:p>
      <w:pPr>
        <w:numPr>
          <w:ilvl w:val="0"/>
          <w:numId w:val="3"/>
        </w:numPr>
        <w:spacing w:line="400" w:lineRule="exact"/>
        <w:ind w:left="60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南边靠东侧处有两个坟堆，因政府迁移可能较晚，实际施工需根据放线情况，各投标方确定调整施工方案，并在报价中进行明确。</w:t>
      </w:r>
    </w:p>
    <w:p>
      <w:pPr>
        <w:numPr>
          <w:ilvl w:val="0"/>
          <w:numId w:val="3"/>
        </w:numPr>
        <w:spacing w:line="400" w:lineRule="exact"/>
        <w:ind w:left="60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可能存在的菜地补偿。</w:t>
      </w:r>
    </w:p>
    <w:p>
      <w:pPr>
        <w:spacing w:line="400" w:lineRule="exact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1.2 交货及安装时间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业主要求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于201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日前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主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材到招标方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施工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现场，并于201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日之前办理所有施工备案手续，于201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日前完成工程并交付招标方使用。</w:t>
      </w:r>
    </w:p>
    <w:p>
      <w:pPr>
        <w:spacing w:line="400" w:lineRule="exact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1.3 技术标中应注明保修细则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" w:name="_Toc64194166"/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有关说明：</w:t>
      </w:r>
      <w:bookmarkEnd w:id="1"/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2.1 安装工程所需的原材料、外协、配套、外购件等均由中标方负责。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 工程总报价应一次性报定，应包括外购、外协、配套件、原材料及设计、生产制造、检验、油漆、包装、保险、税费、管理、运杂、设备安装、调试、培训、图纸资料等全部费用（除室内配电箱开关&lt;不含&gt;之外所有构配件的费用） 。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2.3 质量及验收：符合国标、部标或行业标准要求制造、验收、如为非标设备则按国家现行规定（国标、部标或行业标准）及图纸技术要求制造、验收，并满足招标方使用要求。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投标时须提交的文件及资料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3.1 工程施工方案；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3.2 安全组织方案；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3.3 机械、人员配备及相关资质；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3,4 投标单位须具备钢结构安装资质。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3.5 投标单位须具备起重设备安装资质。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3.6 图纸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投标单位需提供方案图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3.7安装完成后的偏差检测方案及报告。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 签约后须提供的资料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卖方在中标并同业主签约后，根据业主提出的进度要求免费提供下述资料：</w:t>
      </w:r>
    </w:p>
    <w:p>
      <w:pPr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业主认可的施工图</w:t>
      </w:r>
    </w:p>
    <w:p>
      <w:pPr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主要材料的合格检验报告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 工程实施要求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供方应负责工程安装所需一切费用，并计入投标总价中。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供方应在安装前提出安装注意要点，并负责安装全过程。供方在安装期间,必须委派具有5年以上实践经验的工程师负责现场安装及协调工作。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供方必须定期参加现场会议，积极配合业主工作，圆满解决安装中的所有问题。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若在安装过程中，由于供方的原因造成建筑结构或其它设备的损坏，供方必须负责修理恢复并赔偿损失。</w:t>
      </w:r>
    </w:p>
    <w:p>
      <w:pPr>
        <w:snapToGrid w:val="0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供方应遵守需方的现场安全管理规定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并与安全部门签订安全协议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  验收合格条件</w:t>
      </w:r>
    </w:p>
    <w:p>
      <w:pPr>
        <w:tabs>
          <w:tab w:val="left" w:pos="5040"/>
        </w:tabs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安设计图以及建筑施工规范进行验收。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未尽事宜详见附件业主提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的《采购申请单》及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增用地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施工图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（有意参与本次投标者请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联系业主方索取），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并欢迎到现场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勘察、咨询。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0B2A14"/>
    <w:multiLevelType w:val="singleLevel"/>
    <w:tmpl w:val="E60B2A14"/>
    <w:lvl w:ilvl="0" w:tentative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2">
    <w:nsid w:val="5EBF05D7"/>
    <w:multiLevelType w:val="multilevel"/>
    <w:tmpl w:val="5EBF05D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1853044"/>
    <w:rsid w:val="08BF31DE"/>
    <w:rsid w:val="173E25D6"/>
    <w:rsid w:val="17A87799"/>
    <w:rsid w:val="19050666"/>
    <w:rsid w:val="213A04A7"/>
    <w:rsid w:val="22C1495A"/>
    <w:rsid w:val="25337675"/>
    <w:rsid w:val="33783BC6"/>
    <w:rsid w:val="435E68CE"/>
    <w:rsid w:val="442E5D08"/>
    <w:rsid w:val="446A5861"/>
    <w:rsid w:val="4F644D27"/>
    <w:rsid w:val="52FE4D19"/>
    <w:rsid w:val="54025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0" w:firstLineChars="0"/>
      <w:outlineLvl w:val="0"/>
    </w:pPr>
    <w:rPr>
      <w:b/>
      <w:bCs/>
      <w:sz w:val="2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207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2019-03-25T04:04:48Z</cp:lastPrinted>
  <dcterms:modified xsi:type="dcterms:W3CDTF">2019-03-25T07:18:57Z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