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hint="default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热处理行车大车行走轮换新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项目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招标采购说明书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21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7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default" w:ascii="Calibri" w:hAnsi="Calibri" w:cs="Arial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热处理行车大车行走轮换新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招标采购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市国家高新技术产业园区南源路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ind w:left="240" w:hanging="240" w:hangingChars="100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热处理行车大车行走轮换新项目所涉全部内容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投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标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说明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料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项目竣工验收合格后付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90%工程款，留10%质保金若无质量异议壹年后付清（付款前承包方须将有效发票足额交给发包方）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供应商自报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21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8--13日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val="en-US" w:eastAsia="zh-CN"/>
              </w:rPr>
              <w:t>胡黎辉</w:t>
            </w:r>
          </w:p>
          <w:p>
            <w:pPr>
              <w:spacing w:line="360" w:lineRule="auto"/>
              <w:rPr>
                <w:rFonts w:hint="default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jc w:val="left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时间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实际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</w:t>
      </w:r>
      <w:r>
        <w:rPr>
          <w:rFonts w:hint="eastAsia" w:ascii="Arial" w:hAnsi="Arial" w:cs="Arial"/>
          <w:sz w:val="24"/>
          <w:szCs w:val="24"/>
          <w:lang w:val="en-US" w:eastAsia="zh-CN"/>
        </w:rPr>
        <w:t>热处理行车大车行走轮换新技术要求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eastAsia="zh-CN"/>
        </w:rPr>
        <w:t>》（此处略，若有意参与竞标者请与招标方联系索取相关资料），报价时要求提供主材品名及价格明细，并</w:t>
      </w:r>
      <w:r>
        <w:rPr>
          <w:rFonts w:hint="eastAsia" w:ascii="Arial" w:hAnsi="Arial" w:cs="Arial"/>
          <w:sz w:val="24"/>
          <w:szCs w:val="24"/>
        </w:rPr>
        <w:t>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756D39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72A7D68"/>
    <w:rsid w:val="07336836"/>
    <w:rsid w:val="08BF31DE"/>
    <w:rsid w:val="08C32C5D"/>
    <w:rsid w:val="0CE42DF3"/>
    <w:rsid w:val="0E7F5C4A"/>
    <w:rsid w:val="10DA06BE"/>
    <w:rsid w:val="11E549A9"/>
    <w:rsid w:val="11E756E1"/>
    <w:rsid w:val="11E80513"/>
    <w:rsid w:val="11F239F1"/>
    <w:rsid w:val="131E61D8"/>
    <w:rsid w:val="15614A5A"/>
    <w:rsid w:val="17EC7E07"/>
    <w:rsid w:val="17ED6166"/>
    <w:rsid w:val="20B020F1"/>
    <w:rsid w:val="23803590"/>
    <w:rsid w:val="254969BC"/>
    <w:rsid w:val="268717D4"/>
    <w:rsid w:val="27557A9B"/>
    <w:rsid w:val="277604DF"/>
    <w:rsid w:val="2FD96E22"/>
    <w:rsid w:val="33783BC6"/>
    <w:rsid w:val="360A09A5"/>
    <w:rsid w:val="39280877"/>
    <w:rsid w:val="3F4D2AAA"/>
    <w:rsid w:val="40FA6FFB"/>
    <w:rsid w:val="435E68CE"/>
    <w:rsid w:val="446A5861"/>
    <w:rsid w:val="4476249A"/>
    <w:rsid w:val="47E905ED"/>
    <w:rsid w:val="4A862C9B"/>
    <w:rsid w:val="4F644D27"/>
    <w:rsid w:val="500B68EC"/>
    <w:rsid w:val="50D1244E"/>
    <w:rsid w:val="516B6D36"/>
    <w:rsid w:val="540248C6"/>
    <w:rsid w:val="566F4F95"/>
    <w:rsid w:val="601D73E8"/>
    <w:rsid w:val="63AC07B1"/>
    <w:rsid w:val="65D56293"/>
    <w:rsid w:val="670D2EE8"/>
    <w:rsid w:val="68C568DB"/>
    <w:rsid w:val="6E2338CD"/>
    <w:rsid w:val="6F245DF7"/>
    <w:rsid w:val="6F5709C7"/>
    <w:rsid w:val="71546BE9"/>
    <w:rsid w:val="76557C85"/>
    <w:rsid w:val="78363D80"/>
    <w:rsid w:val="7AA430F7"/>
    <w:rsid w:val="7D09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2015-06-16T05:21:00Z</cp:lastPrinted>
  <dcterms:modified xsi:type="dcterms:W3CDTF">2021-07-09T00:24:59Z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0C4F9CC0C04F4202BE2E2920748F7257</vt:lpwstr>
  </property>
</Properties>
</file>