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新钢金属制品有限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公司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72"/>
          <w:szCs w:val="7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财产及货运险投保</w:t>
      </w: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招标说明书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ascii="宋体" w:hAnsi="宋体"/>
          <w:sz w:val="52"/>
          <w:szCs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12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8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 w:val="0"/>
                <w:bCs w:val="0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2021年度（2021年1月1日至2021年12月31日）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（含铝包厂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val="en-US" w:eastAsia="zh-CN"/>
              </w:rPr>
              <w:t>和钢丝厂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）财产及货物运输险投保</w:t>
            </w:r>
          </w:p>
          <w:p>
            <w:pPr>
              <w:spacing w:line="360" w:lineRule="auto"/>
              <w:jc w:val="left"/>
              <w:rPr>
                <w:rFonts w:hint="eastAsia" w:cs="Arial"/>
                <w:color w:val="000000"/>
                <w:sz w:val="24"/>
                <w:lang w:eastAsia="zh-CN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江西省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</w:t>
            </w:r>
          </w:p>
          <w:p>
            <w:pPr>
              <w:spacing w:line="360" w:lineRule="auto"/>
              <w:jc w:val="left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保险费用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：投标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（承保）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单位自报</w:t>
            </w:r>
          </w:p>
          <w:p>
            <w:pPr>
              <w:spacing w:line="360" w:lineRule="auto"/>
              <w:jc w:val="left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附件合同样本</w:t>
            </w:r>
          </w:p>
          <w:p>
            <w:pPr>
              <w:spacing w:line="360" w:lineRule="auto"/>
              <w:jc w:val="left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附件合同样本相关条款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；供应商也可提出自己的付款要求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行业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sz w:val="24"/>
              </w:rPr>
              <w:t>—</w:t>
            </w:r>
            <w:r>
              <w:rPr>
                <w:rFonts w:hint="eastAsia" w:cs="Arial"/>
                <w:sz w:val="24"/>
                <w:lang w:val="en-US" w:eastAsia="zh-CN"/>
              </w:rPr>
              <w:t>25</w:t>
            </w:r>
            <w:r>
              <w:rPr>
                <w:rFonts w:hint="eastAsia" w:ascii="Calibri" w:hAnsi="Calibri" w:cs="Arial"/>
                <w:sz w:val="24"/>
              </w:rPr>
              <w:t>日，可以以邮件形式进行答疑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周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强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13979017111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</w:t>
            </w:r>
            <w:r>
              <w:rPr>
                <w:rFonts w:hint="eastAsia"/>
                <w:kern w:val="2"/>
                <w:lang w:eastAsia="zh-CN"/>
              </w:rPr>
              <w:t>、咨询</w:t>
            </w:r>
            <w:r>
              <w:rPr>
                <w:rFonts w:hint="eastAsia"/>
                <w:kern w:val="2"/>
              </w:rPr>
              <w:t>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实施方案及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20年12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ind w:left="2650" w:left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  <w:lang w:eastAsia="zh-CN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ind w:firstLine="560" w:firstLineChars="200"/>
        <w:rPr>
          <w:rFonts w:hint="eastAsia" w:ascii="Arial"/>
          <w:b w:val="0"/>
          <w:bCs w:val="0"/>
          <w:sz w:val="28"/>
          <w:szCs w:val="28"/>
          <w:lang w:eastAsia="zh-CN"/>
        </w:rPr>
      </w:pPr>
      <w:r>
        <w:rPr>
          <w:rFonts w:hint="eastAsia" w:ascii="Arial" w:hAnsi="Arial" w:cs="Arial"/>
          <w:b w:val="0"/>
          <w:bCs w:val="0"/>
          <w:sz w:val="28"/>
          <w:szCs w:val="28"/>
          <w:lang w:eastAsia="zh-CN"/>
        </w:rPr>
        <w:t>详见</w:t>
      </w:r>
      <w:r>
        <w:rPr>
          <w:rFonts w:hint="eastAsia" w:ascii="Arial"/>
          <w:b w:val="0"/>
          <w:bCs w:val="0"/>
          <w:sz w:val="28"/>
          <w:szCs w:val="28"/>
          <w:lang w:eastAsia="zh-CN"/>
        </w:rPr>
        <w:t>附件：</w:t>
      </w:r>
    </w:p>
    <w:p>
      <w:pPr>
        <w:numPr>
          <w:ilvl w:val="0"/>
          <w:numId w:val="3"/>
        </w:numP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新余新钢金属制品有限公司（含铝包厂和钢丝厂）2020年1-11月资产负责表（此处略，</w:t>
      </w:r>
      <w:r>
        <w:rPr>
          <w:rFonts w:hint="eastAsia" w:ascii="Arial"/>
          <w:b w:val="0"/>
          <w:bCs w:val="0"/>
          <w:sz w:val="28"/>
          <w:szCs w:val="28"/>
          <w:lang w:val="en-US" w:eastAsia="zh-CN"/>
        </w:rPr>
        <w:t>若有意自愿参与本次投标者，可向招标方联系人索取）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新余新钢金属制品有限公司财产综合保险投保协议书</w:t>
      </w:r>
      <w:r>
        <w:rPr>
          <w:rFonts w:hint="eastAsia" w:ascii="Arial"/>
          <w:b w:val="0"/>
          <w:bCs w:val="0"/>
          <w:sz w:val="28"/>
          <w:szCs w:val="28"/>
          <w:lang w:eastAsia="zh-CN"/>
        </w:rPr>
        <w:t>》和</w:t>
      </w:r>
      <w:r>
        <w:rPr>
          <w:rFonts w:hint="eastAsia" w:ascii="Arial" w:hAnsi="Arial" w:cs="Arial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新余新钢金属制品有限公司国内/进出口</w:t>
      </w:r>
      <w:bookmarkStart w:id="1" w:name="_GoBack"/>
      <w:bookmarkEnd w:id="1"/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货运保险投保协议书</w:t>
      </w:r>
      <w:r>
        <w:rPr>
          <w:rFonts w:hint="eastAsia" w:ascii="Arial"/>
          <w:b w:val="0"/>
          <w:bCs w:val="0"/>
          <w:sz w:val="28"/>
          <w:szCs w:val="28"/>
          <w:lang w:eastAsia="zh-CN"/>
        </w:rPr>
        <w:t>》合同样本（此处略）</w:t>
      </w:r>
      <w:r>
        <w:rPr>
          <w:rFonts w:hint="eastAsia" w:ascii="Arial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"/>
          <w:b w:val="0"/>
          <w:bCs w:val="0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6540"/>
        <w:tab w:val="clear" w:pos="4153"/>
      </w:tabs>
      <w:jc w:val="both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58788BB9"/>
    <w:multiLevelType w:val="singleLevel"/>
    <w:tmpl w:val="58788B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097FAE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5B3824"/>
    <w:rsid w:val="0065772D"/>
    <w:rsid w:val="0069120D"/>
    <w:rsid w:val="006C111C"/>
    <w:rsid w:val="0076575B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BB5458"/>
    <w:rsid w:val="00C70470"/>
    <w:rsid w:val="00CB3344"/>
    <w:rsid w:val="00CE5205"/>
    <w:rsid w:val="00D601DB"/>
    <w:rsid w:val="00E22906"/>
    <w:rsid w:val="00F10436"/>
    <w:rsid w:val="00F24551"/>
    <w:rsid w:val="00FE00F9"/>
    <w:rsid w:val="020407D5"/>
    <w:rsid w:val="04584B46"/>
    <w:rsid w:val="08394F13"/>
    <w:rsid w:val="0A4C7AF5"/>
    <w:rsid w:val="0C4569C8"/>
    <w:rsid w:val="1061345D"/>
    <w:rsid w:val="17836ACC"/>
    <w:rsid w:val="29B42251"/>
    <w:rsid w:val="2CC47A6F"/>
    <w:rsid w:val="40B34A88"/>
    <w:rsid w:val="442A5DBE"/>
    <w:rsid w:val="46D63478"/>
    <w:rsid w:val="4E9248E2"/>
    <w:rsid w:val="55356B85"/>
    <w:rsid w:val="574B13AE"/>
    <w:rsid w:val="57AE103F"/>
    <w:rsid w:val="5954299A"/>
    <w:rsid w:val="5A5C3A36"/>
    <w:rsid w:val="5AF14E88"/>
    <w:rsid w:val="5C0F012A"/>
    <w:rsid w:val="5C493D5F"/>
    <w:rsid w:val="638F5242"/>
    <w:rsid w:val="661B20AD"/>
    <w:rsid w:val="68C86D5C"/>
    <w:rsid w:val="6D14160E"/>
    <w:rsid w:val="74B0609D"/>
    <w:rsid w:val="756303D2"/>
    <w:rsid w:val="7C247511"/>
    <w:rsid w:val="7D9A7A87"/>
    <w:rsid w:val="7DEF4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161</Words>
  <Characters>920</Characters>
  <Lines>7</Lines>
  <Paragraphs>2</Paragraphs>
  <TotalTime>174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2015-06-02T08:33:00Z</dcterms:created>
  <dc:creator>Liu Wan (BXMP)</dc:creator>
  <cp:lastModifiedBy>涂涂</cp:lastModifiedBy>
  <cp:lastPrinted>2018-12-14T06:38:00Z</cp:lastPrinted>
  <dcterms:modified xsi:type="dcterms:W3CDTF">2020-12-14T08:20:48Z</dcterms:modified>
  <dc:title>贝卡尔特（新余）金属      制品有限公司铝包厂部分厂房破损维修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