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41" w:firstLineChars="200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</w:p>
    <w:p>
      <w:pPr>
        <w:spacing w:line="360" w:lineRule="auto"/>
        <w:ind w:left="1550" w:leftChars="738"/>
        <w:jc w:val="center"/>
        <w:rPr>
          <w:rFonts w:ascii="Arial Unicode MS" w:hAnsi="Arial Unicode MS" w:eastAsia="Arial Unicode MS" w:cs="Arial Unicode MS"/>
          <w:b/>
          <w:bCs/>
          <w:sz w:val="52"/>
          <w:szCs w:val="52"/>
        </w:rPr>
      </w:pP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新余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新钢金属制品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有限公司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铝包厂区总部办公楼屋面漏雨维修项目招标采购</w:t>
      </w:r>
    </w:p>
    <w:p>
      <w:pPr>
        <w:spacing w:line="360" w:lineRule="auto"/>
        <w:ind w:left="1550" w:leftChars="738"/>
        <w:jc w:val="center"/>
        <w:rPr>
          <w:rFonts w:ascii="Arial Unicode MS" w:hAnsi="Arial Unicode MS" w:eastAsia="Arial Unicode MS" w:cs="Arial Unicode MS"/>
          <w:b/>
          <w:bCs/>
          <w:sz w:val="52"/>
          <w:szCs w:val="52"/>
        </w:rPr>
      </w:pPr>
    </w:p>
    <w:p>
      <w:pPr>
        <w:spacing w:line="360" w:lineRule="auto"/>
        <w:ind w:left="1550" w:leftChars="738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  <w:r>
        <w:rPr>
          <w:rFonts w:hint="eastAsia" w:ascii="Arial Unicode MS" w:hAnsi="Arial Unicode MS" w:eastAsia="Arial Unicode MS" w:cs="Arial Unicode MS"/>
          <w:b/>
          <w:bCs/>
          <w:sz w:val="72"/>
          <w:szCs w:val="72"/>
        </w:rPr>
        <w:t>说明书</w:t>
      </w: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jc w:val="right"/>
        <w:rPr>
          <w:rFonts w:ascii="宋体" w:hAnsi="宋体"/>
          <w:color w:val="00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招标单位：</w:t>
      </w:r>
      <w:r>
        <w:rPr>
          <w:rFonts w:hint="eastAsia" w:ascii="宋体" w:hAnsi="宋体"/>
          <w:color w:val="000000"/>
          <w:sz w:val="44"/>
          <w:szCs w:val="44"/>
        </w:rPr>
        <w:t>新余</w:t>
      </w:r>
      <w:r>
        <w:rPr>
          <w:rFonts w:hint="eastAsia" w:ascii="宋体" w:hAnsi="宋体"/>
          <w:color w:val="000000"/>
          <w:sz w:val="44"/>
          <w:szCs w:val="44"/>
          <w:lang w:eastAsia="zh-CN"/>
        </w:rPr>
        <w:t>新钢金属制品</w:t>
      </w:r>
      <w:r>
        <w:rPr>
          <w:rFonts w:hint="eastAsia" w:ascii="宋体" w:hAnsi="宋体"/>
          <w:color w:val="000000"/>
          <w:sz w:val="44"/>
          <w:szCs w:val="44"/>
        </w:rPr>
        <w:t>有限公司</w:t>
      </w:r>
    </w:p>
    <w:p>
      <w:pPr>
        <w:spacing w:line="360" w:lineRule="auto"/>
        <w:ind w:left="2200" w:hanging="2200" w:hangingChars="500"/>
        <w:jc w:val="left"/>
        <w:rPr>
          <w:rFonts w:ascii="宋体" w:hAnsi="宋体"/>
          <w:sz w:val="44"/>
          <w:szCs w:val="44"/>
        </w:rPr>
      </w:pPr>
    </w:p>
    <w:p>
      <w:pPr>
        <w:spacing w:line="360" w:lineRule="auto"/>
        <w:ind w:firstLine="1040" w:firstLineChars="200"/>
        <w:jc w:val="center"/>
        <w:rPr>
          <w:rFonts w:hint="eastAsia" w:ascii="宋体" w:hAnsi="宋体" w:eastAsia="宋体"/>
          <w:sz w:val="52"/>
          <w:szCs w:val="5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52"/>
          <w:szCs w:val="52"/>
        </w:rPr>
        <w:t xml:space="preserve">   20</w:t>
      </w:r>
      <w:r>
        <w:rPr>
          <w:rFonts w:hint="eastAsia" w:ascii="宋体" w:hAnsi="宋体"/>
          <w:sz w:val="52"/>
          <w:szCs w:val="52"/>
          <w:lang w:val="en-US" w:eastAsia="zh-CN"/>
        </w:rPr>
        <w:t>22</w:t>
      </w:r>
      <w:r>
        <w:rPr>
          <w:rFonts w:hint="eastAsia" w:ascii="宋体" w:hAnsi="宋体"/>
          <w:sz w:val="52"/>
          <w:szCs w:val="52"/>
        </w:rPr>
        <w:t>.0</w:t>
      </w:r>
      <w:r>
        <w:rPr>
          <w:rFonts w:hint="eastAsia" w:ascii="宋体" w:hAnsi="宋体"/>
          <w:sz w:val="52"/>
          <w:szCs w:val="52"/>
          <w:lang w:val="en-US" w:eastAsia="zh-CN"/>
        </w:rPr>
        <w:t>1</w:t>
      </w:r>
    </w:p>
    <w:p>
      <w:pPr>
        <w:spacing w:line="360" w:lineRule="auto"/>
        <w:rPr>
          <w:b/>
          <w:sz w:val="4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b/>
          <w:sz w:val="44"/>
        </w:rPr>
      </w:pPr>
      <w:r>
        <w:rPr>
          <w:rFonts w:hint="eastAsia"/>
          <w:b/>
          <w:sz w:val="44"/>
        </w:rPr>
        <w:t xml:space="preserve"> 商务部分</w:t>
      </w:r>
    </w:p>
    <w:p>
      <w:pPr>
        <w:spacing w:line="240" w:lineRule="exact"/>
        <w:ind w:right="720"/>
        <w:jc w:val="right"/>
        <w:rPr>
          <w:rFonts w:ascii="Calibri" w:hAnsi="Calibri" w:cs="Arial"/>
          <w:color w:val="000000"/>
          <w:sz w:val="24"/>
        </w:rPr>
      </w:pPr>
    </w:p>
    <w:tbl>
      <w:tblPr>
        <w:tblStyle w:val="6"/>
        <w:tblW w:w="8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序号</w:t>
            </w:r>
            <w:r>
              <w:rPr>
                <w:rFonts w:ascii="Calibri" w:hAnsi="Calibri" w:cs="Arial"/>
                <w:color w:val="000000"/>
                <w:sz w:val="24"/>
              </w:rPr>
              <w:t>No.</w:t>
            </w:r>
          </w:p>
        </w:tc>
        <w:tc>
          <w:tcPr>
            <w:tcW w:w="7694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内容规定</w:t>
            </w:r>
          </w:p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ascii="Calibri" w:hAnsi="Calibri" w:cs="Arial"/>
                <w:color w:val="000000"/>
                <w:sz w:val="24"/>
              </w:rPr>
              <w:t>Content Prescribed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ind w:hanging="2"/>
              <w:jc w:val="left"/>
              <w:rPr>
                <w:rFonts w:ascii="Calibri" w:hAnsi="Calibri" w:cs="Arial"/>
                <w:b/>
                <w:bCs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名称：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新钢金属</w:t>
            </w:r>
            <w:r>
              <w:rPr>
                <w:rFonts w:hint="eastAsia" w:cs="Arial"/>
                <w:b/>
                <w:bCs/>
                <w:color w:val="000000"/>
                <w:sz w:val="24"/>
                <w:lang w:val="en-US" w:eastAsia="zh-CN"/>
              </w:rPr>
              <w:t>铝包厂区总部办公楼屋面漏雨维修</w:t>
            </w:r>
            <w:r>
              <w:rPr>
                <w:rFonts w:hint="eastAsia" w:ascii="Calibri" w:hAnsi="Calibri" w:cs="Arial"/>
                <w:b/>
                <w:bCs/>
                <w:color w:val="000000"/>
                <w:sz w:val="24"/>
              </w:rPr>
              <w:t>招标</w:t>
            </w:r>
            <w:r>
              <w:rPr>
                <w:rFonts w:hint="eastAsia" w:cs="Arial"/>
                <w:b/>
                <w:bCs/>
                <w:color w:val="000000"/>
                <w:sz w:val="24"/>
                <w:lang w:eastAsia="zh-CN"/>
              </w:rPr>
              <w:t>采购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地点：新余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市国家高新技术产业园区渝东大道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3089号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项目总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价：投标单位自报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招标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内容：</w:t>
            </w:r>
            <w:r>
              <w:rPr>
                <w:rFonts w:hint="eastAsia" w:cs="Arial"/>
                <w:b w:val="0"/>
                <w:bCs w:val="0"/>
                <w:color w:val="000000"/>
                <w:sz w:val="24"/>
                <w:lang w:val="en-US" w:eastAsia="zh-CN"/>
              </w:rPr>
              <w:t>铝包厂区总部办公楼屋面漏雨维修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（东头屋面待维修总面积约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450平米，需拆除已老化的防雨层并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更换新的垫上，具体施工要求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详见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标书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技术部分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方式：包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工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包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料</w:t>
            </w:r>
            <w:r>
              <w:rPr>
                <w:rFonts w:hint="eastAsia" w:ascii="Calibri" w:hAnsi="Calibri" w:cs="Arial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付款方式：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工程竣工验收合格后先付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80%，留20%作为质量保证金，若无质量异议第一年期满（12个月）后付合同总款的10%，第二年期满（24个月）后再付剩下的10%（付款前承包方须将有效发票足额交给发包方）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；</w:t>
            </w:r>
            <w:r>
              <w:rPr>
                <w:rFonts w:hint="eastAsia" w:hAnsi="宋体"/>
                <w:sz w:val="24"/>
                <w:lang w:val="en-US" w:eastAsia="zh-CN"/>
              </w:rPr>
              <w:t>若在两年质保期内出现坍塌、渗漏等安全、质量问题影响业主方办公，承包方必须免费负责妥善处理好，否则业主方有权拒付工程款</w:t>
            </w:r>
            <w:r>
              <w:rPr>
                <w:rFonts w:hint="eastAsia" w:hAnsi="宋体"/>
                <w:color w:val="000000"/>
                <w:sz w:val="24"/>
              </w:rPr>
              <w:t>。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投标方在投标时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也可提出自己的付款要求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验收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标准：符合国家、行业有关验收标准及业主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技术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要求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交货日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期：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供应商自报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招标方式：</w:t>
            </w:r>
            <w:bookmarkStart w:id="0" w:name="OLE_LINK1"/>
            <w:r>
              <w:rPr>
                <w:rFonts w:hint="eastAsia" w:ascii="Calibri" w:hAnsi="Calibri" w:cs="Arial"/>
                <w:color w:val="000000"/>
                <w:sz w:val="24"/>
              </w:rPr>
              <w:t>邀请招标，招议结合</w:t>
            </w:r>
            <w:bookmarkEnd w:id="0"/>
          </w:p>
          <w:p>
            <w:pPr>
              <w:spacing w:line="360" w:lineRule="auto"/>
              <w:rPr>
                <w:rFonts w:ascii="Calibri" w:hAnsi="Calibri" w:cs="Arial"/>
                <w:color w:val="FF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招标对象：投标单位需具备业主要求的相关资质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领取招标文件日期：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22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地点：新余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新钢金属制品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有限公司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地址：新余市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国家高新技术产业园区渝东大道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3089号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 xml:space="preserve">联系人：涂建辉，电  话：0790-6460888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问题答疑日期：</w:t>
            </w:r>
            <w:r>
              <w:rPr>
                <w:rFonts w:ascii="Calibri" w:hAnsi="Calibri" w:cs="Arial"/>
                <w:sz w:val="24"/>
              </w:rPr>
              <w:t>20</w:t>
            </w:r>
            <w:r>
              <w:rPr>
                <w:rFonts w:hint="eastAsia" w:cs="Arial"/>
                <w:sz w:val="24"/>
                <w:lang w:val="en-US" w:eastAsia="zh-CN"/>
              </w:rPr>
              <w:t>22</w:t>
            </w:r>
            <w:r>
              <w:rPr>
                <w:rFonts w:hint="eastAsia" w:ascii="Calibri" w:hAnsi="Calibri" w:cs="Arial"/>
                <w:sz w:val="24"/>
              </w:rPr>
              <w:t>年</w:t>
            </w:r>
            <w:r>
              <w:rPr>
                <w:rFonts w:hint="eastAsia" w:cs="Arial"/>
                <w:sz w:val="24"/>
                <w:lang w:val="en-US" w:eastAsia="zh-CN"/>
              </w:rPr>
              <w:t>1</w:t>
            </w:r>
            <w:r>
              <w:rPr>
                <w:rFonts w:hint="eastAsia" w:ascii="Calibri" w:hAnsi="Calibri" w:cs="Arial"/>
                <w:sz w:val="24"/>
              </w:rPr>
              <w:t>月</w:t>
            </w:r>
            <w:r>
              <w:rPr>
                <w:rFonts w:hint="eastAsia" w:cs="Arial"/>
                <w:sz w:val="24"/>
                <w:lang w:val="en-US" w:eastAsia="zh-CN"/>
              </w:rPr>
              <w:t>10-13日</w:t>
            </w:r>
            <w:r>
              <w:rPr>
                <w:rFonts w:hint="eastAsia" w:ascii="Calibri" w:hAnsi="Calibri" w:cs="Arial"/>
                <w:sz w:val="24"/>
              </w:rPr>
              <w:t>，</w:t>
            </w:r>
            <w:r>
              <w:rPr>
                <w:rFonts w:hint="eastAsia" w:cs="Arial"/>
                <w:sz w:val="24"/>
                <w:lang w:eastAsia="zh-CN"/>
              </w:rPr>
              <w:t>欢迎现场答疑</w:t>
            </w:r>
          </w:p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联系人：</w:t>
            </w:r>
            <w:r>
              <w:rPr>
                <w:rFonts w:hint="eastAsia" w:cs="Arial"/>
                <w:sz w:val="24"/>
                <w:lang w:eastAsia="zh-CN"/>
              </w:rPr>
              <w:t>刘小林</w:t>
            </w:r>
          </w:p>
          <w:p>
            <w:pPr>
              <w:spacing w:line="360" w:lineRule="auto"/>
              <w:rPr>
                <w:rFonts w:hint="default" w:ascii="Calibri" w:hAnsi="Calibri" w:cs="Arial"/>
                <w:sz w:val="24"/>
                <w:lang w:val="en-US"/>
              </w:rPr>
            </w:pPr>
            <w:r>
              <w:rPr>
                <w:rFonts w:hint="eastAsia" w:ascii="Calibri" w:hAnsi="Calibri" w:cs="Arial"/>
                <w:sz w:val="24"/>
              </w:rPr>
              <w:t>电  话：13</w:t>
            </w:r>
            <w:r>
              <w:rPr>
                <w:rFonts w:hint="eastAsia" w:cs="Arial"/>
                <w:sz w:val="24"/>
                <w:lang w:val="en-US" w:eastAsia="zh-CN"/>
              </w:rPr>
              <w:t>607903579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投标有效期为</w:t>
            </w:r>
            <w:r>
              <w:rPr>
                <w:rFonts w:ascii="Calibri" w:hAnsi="Calibri" w:cs="Arial"/>
                <w:sz w:val="24"/>
              </w:rPr>
              <w:t>60</w:t>
            </w:r>
            <w:r>
              <w:rPr>
                <w:rFonts w:hint="eastAsia" w:ascii="Calibri" w:hAnsi="Calibri" w:cs="Arial"/>
                <w:sz w:val="24"/>
              </w:rPr>
              <w:t>天（日历天）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pStyle w:val="5"/>
              <w:spacing w:line="360" w:lineRule="auto"/>
              <w:rPr>
                <w:rFonts w:ascii="Calibri" w:hAnsi="Calibri" w:cs="Arial"/>
              </w:rPr>
            </w:pPr>
            <w:r>
              <w:rPr>
                <w:rFonts w:hint="eastAsia"/>
                <w:kern w:val="2"/>
              </w:rPr>
              <w:t>现场勘察：欢迎投标人现场踏勘，投标人发生费用自理。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投标文件份数为：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壹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份（含技术标、商务标），要求密封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投标单位递交标书截止：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22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13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下午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17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00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时（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以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标书到达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新钢金属公司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时间为准）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议标日期：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暂定</w:t>
            </w:r>
            <w:r>
              <w:rPr>
                <w:rFonts w:ascii="Calibri" w:hAnsi="Calibri" w:cs="Arial"/>
                <w:color w:val="000000"/>
                <w:sz w:val="24"/>
              </w:rPr>
              <w:t>20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22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年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月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14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/>
          <w:b/>
          <w:sz w:val="44"/>
          <w:szCs w:val="44"/>
        </w:rPr>
      </w:pPr>
    </w:p>
    <w:p>
      <w:pPr>
        <w:spacing w:line="360" w:lineRule="auto"/>
        <w:rPr>
          <w:rFonts w:ascii="宋体" w:hAnsi="宋体"/>
          <w:b/>
          <w:sz w:val="44"/>
          <w:szCs w:val="44"/>
        </w:rPr>
      </w:pPr>
    </w:p>
    <w:p>
      <w:pPr>
        <w:spacing w:line="360" w:lineRule="auto"/>
        <w:rPr>
          <w:rFonts w:ascii="宋体" w:hAnsi="宋体"/>
          <w:b/>
          <w:sz w:val="44"/>
          <w:szCs w:val="44"/>
        </w:rPr>
      </w:pPr>
    </w:p>
    <w:p>
      <w:pPr>
        <w:pStyle w:val="8"/>
        <w:numPr>
          <w:ilvl w:val="0"/>
          <w:numId w:val="1"/>
        </w:numPr>
        <w:ind w:firstLineChars="0"/>
        <w:rPr>
          <w:rFonts w:hint="eastAsia" w:ascii="Arial" w:hAnsi="Arial" w:cs="Arial"/>
          <w:b/>
          <w:sz w:val="40"/>
          <w:szCs w:val="40"/>
        </w:rPr>
      </w:pPr>
      <w:r>
        <w:rPr>
          <w:rFonts w:hint="eastAsia" w:ascii="Arial" w:hAnsi="Arial" w:cs="Arial"/>
          <w:b/>
          <w:sz w:val="40"/>
          <w:szCs w:val="40"/>
        </w:rPr>
        <w:t>技术部分</w:t>
      </w:r>
    </w:p>
    <w:p>
      <w:pPr>
        <w:pStyle w:val="8"/>
        <w:ind w:left="3550" w:firstLine="0" w:firstLineChars="0"/>
        <w:rPr>
          <w:rFonts w:hint="eastAsia" w:ascii="Arial" w:hAnsi="Arial" w:cs="Arial"/>
          <w:b/>
          <w:sz w:val="40"/>
          <w:szCs w:val="40"/>
        </w:rPr>
      </w:pPr>
    </w:p>
    <w:p>
      <w:pPr>
        <w:rPr>
          <w:rFonts w:hint="eastAsia" w:ascii="Arial" w:hAnsi="Arial" w:eastAsia="宋体" w:cs="Arial"/>
          <w:sz w:val="24"/>
          <w:szCs w:val="24"/>
          <w:lang w:val="en-US" w:eastAsia="zh-CN"/>
        </w:rPr>
      </w:pPr>
      <w:r>
        <w:rPr>
          <w:rFonts w:hint="eastAsia" w:ascii="Arial" w:hAnsi="Arial" w:cs="Arial"/>
          <w:sz w:val="24"/>
          <w:szCs w:val="24"/>
        </w:rPr>
        <w:t xml:space="preserve">    详见业主提供的</w:t>
      </w:r>
      <w:r>
        <w:rPr>
          <w:rFonts w:hint="eastAsia" w:ascii="Arial" w:hAnsi="Arial" w:cs="Arial"/>
          <w:sz w:val="24"/>
          <w:szCs w:val="24"/>
          <w:lang w:eastAsia="zh-CN"/>
        </w:rPr>
        <w:t>《采购申请单》，</w:t>
      </w:r>
      <w:r>
        <w:rPr>
          <w:rFonts w:hint="eastAsia" w:ascii="Arial" w:hAnsi="Arial" w:cs="Arial"/>
          <w:sz w:val="24"/>
          <w:szCs w:val="24"/>
        </w:rPr>
        <w:t>并欢迎到现场</w:t>
      </w:r>
      <w:r>
        <w:rPr>
          <w:rFonts w:hint="eastAsia" w:ascii="Arial" w:hAnsi="Arial" w:cs="Arial"/>
          <w:sz w:val="24"/>
          <w:szCs w:val="24"/>
          <w:lang w:eastAsia="zh-CN"/>
        </w:rPr>
        <w:t>进行</w:t>
      </w:r>
      <w:r>
        <w:rPr>
          <w:rFonts w:hint="eastAsia" w:ascii="Arial" w:hAnsi="Arial" w:cs="Arial"/>
          <w:sz w:val="24"/>
          <w:szCs w:val="24"/>
        </w:rPr>
        <w:t>勘察、咨询</w:t>
      </w:r>
      <w:r>
        <w:rPr>
          <w:rFonts w:hint="eastAsia" w:ascii="Arial" w:hAnsi="Arial" w:cs="Arial"/>
          <w:sz w:val="24"/>
          <w:szCs w:val="24"/>
          <w:lang w:eastAsia="zh-CN"/>
        </w:rPr>
        <w:t>；投标时，承包商需提供详细的施工技术方案（含屋面原有已老化的防雨层拆除并安全清理处置等工作量在内），并请</w:t>
      </w:r>
      <w:bookmarkStart w:id="1" w:name="_GoBack"/>
      <w:bookmarkEnd w:id="1"/>
      <w:r>
        <w:rPr>
          <w:rFonts w:hint="eastAsia" w:ascii="Arial" w:hAnsi="Arial" w:cs="Arial"/>
          <w:sz w:val="24"/>
          <w:szCs w:val="24"/>
          <w:lang w:eastAsia="zh-CN"/>
        </w:rPr>
        <w:t>注明所用主材型号、规格以及交货期、保修（保质）期限等等。</w:t>
      </w:r>
    </w:p>
    <w:sectPr>
      <w:headerReference r:id="rId9" w:type="default"/>
      <w:pgSz w:w="11906" w:h="16838"/>
      <w:pgMar w:top="680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ascii="宋体" w:hAnsi="宋体" w:cs="宋体"/>
        <w:b/>
        <w:i/>
        <w:kern w:val="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E"/>
    <w:multiLevelType w:val="multilevel"/>
    <w:tmpl w:val="0000001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decimal"/>
      <w:isLgl/>
      <w:lvlText w:val="%1.%2"/>
      <w:lvlJc w:val="left"/>
      <w:pPr>
        <w:ind w:left="1500" w:hanging="1020"/>
      </w:pPr>
      <w:rPr>
        <w:rFonts w:hint="default" w:hAnsi="Calibri" w:cs="Times New Roman"/>
      </w:rPr>
    </w:lvl>
    <w:lvl w:ilvl="2" w:tentative="0">
      <w:start w:val="1"/>
      <w:numFmt w:val="decimal"/>
      <w:isLgl/>
      <w:lvlText w:val="%1.%2.%3"/>
      <w:lvlJc w:val="left"/>
      <w:pPr>
        <w:ind w:left="1980" w:hanging="1020"/>
      </w:pPr>
      <w:rPr>
        <w:rFonts w:hint="default" w:hAnsi="Calibri" w:cs="Times New Roman"/>
      </w:rPr>
    </w:lvl>
    <w:lvl w:ilvl="3" w:tentative="0">
      <w:start w:val="1"/>
      <w:numFmt w:val="decimal"/>
      <w:isLgl/>
      <w:lvlText w:val="%1.%2.%3.%4"/>
      <w:lvlJc w:val="left"/>
      <w:pPr>
        <w:ind w:left="2460" w:hanging="1020"/>
      </w:pPr>
      <w:rPr>
        <w:rFonts w:hint="default" w:hAnsi="Calibri" w:cs="Times New Roman"/>
      </w:rPr>
    </w:lvl>
    <w:lvl w:ilvl="4" w:tentative="0">
      <w:start w:val="1"/>
      <w:numFmt w:val="decimal"/>
      <w:isLgl/>
      <w:lvlText w:val="%1.%2.%3.%4.%5"/>
      <w:lvlJc w:val="left"/>
      <w:pPr>
        <w:ind w:left="3000" w:hanging="1080"/>
      </w:pPr>
      <w:rPr>
        <w:rFonts w:hint="default" w:hAnsi="Calibri" w:cs="Times New Roman"/>
      </w:rPr>
    </w:lvl>
    <w:lvl w:ilvl="5" w:tentative="0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 w:hAnsi="Calibri" w:cs="Times New Roman"/>
      </w:rPr>
    </w:lvl>
    <w:lvl w:ilvl="6" w:tentative="0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 w:hAnsi="Calibri" w:cs="Times New Roman"/>
      </w:rPr>
    </w:lvl>
    <w:lvl w:ilvl="7" w:tentative="0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 w:hAnsi="Calibri" w:cs="Times New Roman"/>
      </w:rPr>
    </w:lvl>
    <w:lvl w:ilvl="8" w:tentative="0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 w:hAnsi="Calibri" w:cs="Times New Roman"/>
      </w:rPr>
    </w:lvl>
  </w:abstractNum>
  <w:abstractNum w:abstractNumId="1">
    <w:nsid w:val="732767FD"/>
    <w:multiLevelType w:val="multilevel"/>
    <w:tmpl w:val="732767FD"/>
    <w:lvl w:ilvl="0" w:tentative="0">
      <w:start w:val="1"/>
      <w:numFmt w:val="japaneseCounting"/>
      <w:lvlText w:val="%1、"/>
      <w:lvlJc w:val="left"/>
      <w:pPr>
        <w:ind w:left="3550" w:hanging="9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3490" w:hanging="420"/>
      </w:pPr>
    </w:lvl>
    <w:lvl w:ilvl="2" w:tentative="0">
      <w:start w:val="1"/>
      <w:numFmt w:val="lowerRoman"/>
      <w:lvlText w:val="%3."/>
      <w:lvlJc w:val="right"/>
      <w:pPr>
        <w:ind w:left="3910" w:hanging="420"/>
      </w:pPr>
    </w:lvl>
    <w:lvl w:ilvl="3" w:tentative="0">
      <w:start w:val="1"/>
      <w:numFmt w:val="decimal"/>
      <w:lvlText w:val="%4."/>
      <w:lvlJc w:val="left"/>
      <w:pPr>
        <w:ind w:left="4330" w:hanging="420"/>
      </w:pPr>
    </w:lvl>
    <w:lvl w:ilvl="4" w:tentative="0">
      <w:start w:val="1"/>
      <w:numFmt w:val="lowerLetter"/>
      <w:lvlText w:val="%5)"/>
      <w:lvlJc w:val="left"/>
      <w:pPr>
        <w:ind w:left="4750" w:hanging="420"/>
      </w:pPr>
    </w:lvl>
    <w:lvl w:ilvl="5" w:tentative="0">
      <w:start w:val="1"/>
      <w:numFmt w:val="lowerRoman"/>
      <w:lvlText w:val="%6."/>
      <w:lvlJc w:val="right"/>
      <w:pPr>
        <w:ind w:left="5170" w:hanging="420"/>
      </w:pPr>
    </w:lvl>
    <w:lvl w:ilvl="6" w:tentative="0">
      <w:start w:val="1"/>
      <w:numFmt w:val="decimal"/>
      <w:lvlText w:val="%7."/>
      <w:lvlJc w:val="left"/>
      <w:pPr>
        <w:ind w:left="5590" w:hanging="420"/>
      </w:pPr>
    </w:lvl>
    <w:lvl w:ilvl="7" w:tentative="0">
      <w:start w:val="1"/>
      <w:numFmt w:val="lowerLetter"/>
      <w:lvlText w:val="%8)"/>
      <w:lvlJc w:val="left"/>
      <w:pPr>
        <w:ind w:left="6010" w:hanging="420"/>
      </w:pPr>
    </w:lvl>
    <w:lvl w:ilvl="8" w:tentative="0">
      <w:start w:val="1"/>
      <w:numFmt w:val="lowerRoman"/>
      <w:lvlText w:val="%9."/>
      <w:lvlJc w:val="right"/>
      <w:pPr>
        <w:ind w:left="64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43"/>
    <w:rsid w:val="000211D3"/>
    <w:rsid w:val="000544CA"/>
    <w:rsid w:val="00080ADD"/>
    <w:rsid w:val="00131D9B"/>
    <w:rsid w:val="00181656"/>
    <w:rsid w:val="001F4D97"/>
    <w:rsid w:val="001F61A6"/>
    <w:rsid w:val="0022687F"/>
    <w:rsid w:val="00274441"/>
    <w:rsid w:val="002B0877"/>
    <w:rsid w:val="002C6FBA"/>
    <w:rsid w:val="00365971"/>
    <w:rsid w:val="003C1730"/>
    <w:rsid w:val="00403081"/>
    <w:rsid w:val="004221D9"/>
    <w:rsid w:val="004602FF"/>
    <w:rsid w:val="004F4634"/>
    <w:rsid w:val="005222D7"/>
    <w:rsid w:val="0052645B"/>
    <w:rsid w:val="005347D8"/>
    <w:rsid w:val="00546B75"/>
    <w:rsid w:val="0065772D"/>
    <w:rsid w:val="0069120D"/>
    <w:rsid w:val="006C111C"/>
    <w:rsid w:val="00831498"/>
    <w:rsid w:val="00872CE9"/>
    <w:rsid w:val="00935ADF"/>
    <w:rsid w:val="009562E6"/>
    <w:rsid w:val="00956638"/>
    <w:rsid w:val="009B5D40"/>
    <w:rsid w:val="009E4943"/>
    <w:rsid w:val="00A0382B"/>
    <w:rsid w:val="00A54EF4"/>
    <w:rsid w:val="00B459CC"/>
    <w:rsid w:val="00B557CE"/>
    <w:rsid w:val="00B94099"/>
    <w:rsid w:val="00CE5205"/>
    <w:rsid w:val="00D601DB"/>
    <w:rsid w:val="00E22906"/>
    <w:rsid w:val="00F10436"/>
    <w:rsid w:val="00F24551"/>
    <w:rsid w:val="00FE00F9"/>
    <w:rsid w:val="068E3FD6"/>
    <w:rsid w:val="07336836"/>
    <w:rsid w:val="08BF31DE"/>
    <w:rsid w:val="0CE42DF3"/>
    <w:rsid w:val="0E7F5C4A"/>
    <w:rsid w:val="10DA06BE"/>
    <w:rsid w:val="11E756E1"/>
    <w:rsid w:val="11F239F1"/>
    <w:rsid w:val="17ED6166"/>
    <w:rsid w:val="20B020F1"/>
    <w:rsid w:val="268717D4"/>
    <w:rsid w:val="277604DF"/>
    <w:rsid w:val="33783BC6"/>
    <w:rsid w:val="39280877"/>
    <w:rsid w:val="435E68CE"/>
    <w:rsid w:val="446A5861"/>
    <w:rsid w:val="46185CC6"/>
    <w:rsid w:val="47E905ED"/>
    <w:rsid w:val="4A862C9B"/>
    <w:rsid w:val="4F644D27"/>
    <w:rsid w:val="50D1244E"/>
    <w:rsid w:val="540248C6"/>
    <w:rsid w:val="650168F8"/>
    <w:rsid w:val="65D56293"/>
    <w:rsid w:val="670D2EE8"/>
    <w:rsid w:val="68C568DB"/>
    <w:rsid w:val="6E2338CD"/>
    <w:rsid w:val="71546BE9"/>
    <w:rsid w:val="7AA430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NV Bekaert SA</Company>
  <Pages>3</Pages>
  <Words>103</Words>
  <Characters>590</Characters>
  <Lines>4</Lines>
  <Paragraphs>1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2015-06-02T07:56:00Z</dcterms:created>
  <dc:creator>Liu Wan (BXMP)</dc:creator>
  <cp:lastModifiedBy>tu.jianhui</cp:lastModifiedBy>
  <cp:lastPrinted>2015-06-16T05:21:00Z</cp:lastPrinted>
  <dcterms:modified xsi:type="dcterms:W3CDTF">2022-01-10T03:31:37Z</dcterms:modified>
  <dc:title>贝卡尔特（新余）新材料      有限公司盘条堆场钢结构雨棚招标采购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CDC0E916F99E4824B0C58476A0AC4272</vt:lpwstr>
  </property>
</Properties>
</file>