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财务人员保密协议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甲方（聘用单位）：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地址：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电话：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乙方（受聘方）：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身份证号码：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地址：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电话：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甲乙双方根据国家和本市有关法规、规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定，按照自愿、平等、协商一致的原则签订本保密协议。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第一条：商业保密范围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公司重大决策中的秘密事项；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公司尚未付诸实施的经营战略、经营方向、经营规划、经营项目及经营决策；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公司内部掌握的合同、协议、意见书及可行性报告、主要会议记录；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公司财务预决算报告及各类财务报表、统计报表；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公司尚未刚开的企划方案、预算；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公司职员人事档案、工资等资料；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公司出资开发、研制、购买的软件；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公司设计方案、客户资料；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第二条：财务机密保密范围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公司财务状况、经营状况；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财务部的收款、存款、付款、现金流量等财务状况；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客户资料情况，合作伙伴情况，以及公司将要发展方向的方针、策略；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材料设备采购方式、采购价、采购渠道、采购合同，分包商资料情况；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合同及分包商合同、协议；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在经营活动中的保密行为；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公司领导临时交待的保密事项；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第三条：不泄露、不使用商业机密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乙方同意，在甲聘用期间以及聘用期终止之后，未经甲方书面同意，绝不公开发表或对其他人泄露甲方的任何商业机密，绝不为其他目的而是用甲方的任何商业机密，绝不复印、转移含有甲方商业秘密的资料。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sz w:val="24"/>
          <w:szCs w:val="24"/>
        </w:rPr>
        <w:t>条：蓄谋恶意损坏行为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鉴于乙方受聘用期间职位的特殊性，可能会掌握甲方更多、保密等级更高的商业秘密，乙方承诺：无论在甲方受聘用期间或者聘用结束（无论因何原因而结束）后，无论出自任何原因，乙方到工商、税务、劳动等相关单位进行所谓的投诉、举报等发泄私分的行为的，均为蓄谋恶意损坏甲方名誉及利益行为，由此造成的一切后果均由乙方自行承担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第六条：聘用期终止后的义务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当聘用期无论由于何种原因终止时，乙方同意立即向甲方移交自己所掌握的，包含有职务开发中商业秘密的文档、记录、笔记、提纲、数据、源程序、目标程序、模型、样品以及任何其他资料，并办妥有关手续。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：法律责任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乙方利用甲方无形资产获取的利益，甲方有权要求乙方交付给甲方，并保留诉讼的权利。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乙方违反本协议的义务给甲方造成损失的，甲方有权要求损失，并保留诉讼的权利。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乙方违反本协议的，应向对方支付违约金，违约金数额以乙方月工资标准的五倍计。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乙方违反本协议造成甲方商业信誉、商业营业上损害，违约金不足以弥补甲方所受损失时，乙方应赔偿不足部分的损失。造成重大损失的，有权追究其刑事责任。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甲方（盖章）                                 乙方（签字）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代表（签字）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时间：   年   月   日                        时间：    年   月   日</w:t>
      </w:r>
    </w:p>
    <w:sectPr>
      <w:pgSz w:w="11850" w:h="16783"/>
      <w:pgMar w:top="1440" w:right="1689" w:bottom="1440" w:left="1689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视界-文清手写字体">
    <w:panose1 w:val="02000500000000000000"/>
    <w:charset w:val="86"/>
    <w:family w:val="auto"/>
    <w:pitch w:val="default"/>
    <w:sig w:usb0="8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3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4">
    <w:nsid w:val="0000000E"/>
    <w:multiLevelType w:val="singleLevel"/>
    <w:tmpl w:val="0000000E"/>
    <w:lvl w:ilvl="0" w:tentative="0">
      <w:start w:val="7"/>
      <w:numFmt w:val="chineseCounting"/>
      <w:suff w:val="nothing"/>
      <w:lvlText w:val="第%1条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4682F"/>
    <w:rsid w:val="010F3D9E"/>
    <w:rsid w:val="05610ACD"/>
    <w:rsid w:val="3024682F"/>
    <w:rsid w:val="564F3A45"/>
    <w:rsid w:val="5FF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996</Characters>
  <Lines>0</Lines>
  <Paragraphs>0</Paragraphs>
  <TotalTime>1</TotalTime>
  <ScaleCrop>false</ScaleCrop>
  <LinksUpToDate>false</LinksUpToDate>
  <CharactersWithSpaces>1285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2019-12-13T08:20:00Z</dcterms:created>
  <dc:creator>熊猫办公</dc:creator>
  <cp:lastModifiedBy>liyaxi</cp:lastModifiedBy>
  <dcterms:modified xsi:type="dcterms:W3CDTF">2020-04-14T08:46:05Z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