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1041" w:firstLineChars="200"/>
        <w:rPr>
          <w:rFonts w:ascii="微软雅黑" w:hAnsi="微软雅黑" w:eastAsia="微软雅黑" w:cs="微软雅黑"/>
          <w:b/>
          <w:bCs/>
          <w:color w:val="FF0000"/>
          <w:sz w:val="52"/>
          <w:szCs w:val="72"/>
        </w:rPr>
      </w:pPr>
      <w:r>
        <w:rPr>
          <w:rFonts w:hint="eastAsia" w:ascii="微软雅黑" w:hAnsi="微软雅黑" w:eastAsia="微软雅黑" w:cs="微软雅黑"/>
          <w:b/>
          <w:bCs/>
          <w:color w:val="FF0000"/>
          <w:sz w:val="52"/>
          <w:szCs w:val="72"/>
        </w:rPr>
        <w:drawing>
          <wp:anchor distT="0" distB="0" distL="114300" distR="114300" simplePos="0" relativeHeight="251661312" behindDoc="1" locked="0" layoutInCell="1" allowOverlap="1">
            <wp:simplePos x="0" y="0"/>
            <wp:positionH relativeFrom="column">
              <wp:posOffset>86360</wp:posOffset>
            </wp:positionH>
            <wp:positionV relativeFrom="paragraph">
              <wp:posOffset>22860</wp:posOffset>
            </wp:positionV>
            <wp:extent cx="753110" cy="625475"/>
            <wp:effectExtent l="0" t="0" r="8890" b="14605"/>
            <wp:wrapNone/>
            <wp:docPr id="41" name="图片 41" descr="3b4c454cbae094ad3255a7cc62078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3b4c454cbae094ad3255a7cc62078a8"/>
                    <pic:cNvPicPr>
                      <a:picLocks noChangeAspect="1"/>
                    </pic:cNvPicPr>
                  </pic:nvPicPr>
                  <pic:blipFill>
                    <a:blip r:embed="rId6"/>
                    <a:srcRect l="10900" t="9764" r="13873" b="28725"/>
                    <a:stretch>
                      <a:fillRect/>
                    </a:stretch>
                  </pic:blipFill>
                  <pic:spPr>
                    <a:xfrm>
                      <a:off x="0" y="0"/>
                      <a:ext cx="753110" cy="625475"/>
                    </a:xfrm>
                    <a:prstGeom prst="rect">
                      <a:avLst/>
                    </a:prstGeom>
                  </pic:spPr>
                </pic:pic>
              </a:graphicData>
            </a:graphic>
          </wp:anchor>
        </w:drawing>
      </w:r>
      <w:r>
        <w:rPr>
          <w:rFonts w:hint="eastAsia" w:ascii="微软雅黑" w:hAnsi="微软雅黑" w:eastAsia="微软雅黑" w:cs="微软雅黑"/>
          <w:b/>
          <w:bCs/>
          <w:color w:val="FF0000"/>
          <w:sz w:val="52"/>
          <w:szCs w:val="72"/>
        </w:rPr>
        <w:t xml:space="preserve"> </w:t>
      </w:r>
      <w:r>
        <w:rPr>
          <w:rFonts w:hint="eastAsia" w:ascii="微软雅黑" w:hAnsi="微软雅黑" w:eastAsia="微软雅黑" w:cs="微软雅黑"/>
          <w:b/>
          <w:bCs/>
          <w:color w:val="FF0000"/>
          <w:sz w:val="56"/>
          <w:szCs w:val="96"/>
        </w:rPr>
        <w:t xml:space="preserve">      </w:t>
      </w:r>
      <w:r>
        <w:rPr>
          <w:rFonts w:hint="eastAsia" w:ascii="微软雅黑" w:hAnsi="微软雅黑" w:eastAsia="微软雅黑" w:cs="微软雅黑"/>
          <w:b/>
          <w:bCs/>
          <w:color w:val="FF0000"/>
          <w:sz w:val="52"/>
          <w:szCs w:val="72"/>
        </w:rPr>
        <w:t>山 西 铸 造 通 讯</w:t>
      </w:r>
      <w:r>
        <w:rPr>
          <w:rFonts w:hint="eastAsia" w:ascii="微软雅黑" w:hAnsi="微软雅黑" w:eastAsia="微软雅黑" w:cs="微软雅黑"/>
          <w:b/>
          <w:bCs/>
          <w:color w:val="FF0000"/>
          <w:sz w:val="48"/>
          <w:szCs w:val="56"/>
        </w:rPr>
        <w:t xml:space="preserve">  </w:t>
      </w:r>
    </w:p>
    <w:p>
      <w:pPr>
        <w:jc w:val="center"/>
        <w:rPr>
          <w:rFonts w:ascii="微软雅黑" w:hAnsi="微软雅黑" w:eastAsia="微软雅黑" w:cs="微软雅黑"/>
          <w:b/>
          <w:bCs/>
          <w:color w:val="FF0000"/>
          <w:sz w:val="18"/>
          <w:szCs w:val="21"/>
        </w:rPr>
      </w:pPr>
    </w:p>
    <w:p>
      <w:pPr>
        <w:ind w:firstLine="320" w:firstLineChars="100"/>
        <w:rPr>
          <w:rFonts w:ascii="仿宋" w:hAnsi="仿宋" w:eastAsia="仿宋" w:cs="仿宋"/>
          <w:b/>
          <w:bCs/>
          <w:sz w:val="40"/>
          <w:szCs w:val="48"/>
        </w:rPr>
      </w:pPr>
      <w:r>
        <w:rPr>
          <w:rFonts w:hint="eastAsia" w:ascii="微软雅黑" w:hAnsi="微软雅黑" w:eastAsia="微软雅黑" w:cs="微软雅黑"/>
          <w:color w:val="FF0000"/>
          <w:sz w:val="32"/>
          <w:szCs w:val="32"/>
          <w14:textFill>
            <w14:gradFill>
              <w14:gsLst>
                <w14:gs w14:pos="0">
                  <w14:srgbClr w14:val="007BD3"/>
                </w14:gs>
                <w14:gs w14:pos="100000">
                  <w14:srgbClr w14:val="034373"/>
                </w14:gs>
              </w14:gsLst>
              <w14:lin w14:ang="0" w14:scaled="0"/>
            </w14:gradFill>
          </w14:textFill>
        </w:rPr>
        <w:t>202</w:t>
      </w:r>
      <w:r>
        <w:rPr>
          <w:rFonts w:hint="eastAsia" w:ascii="微软雅黑" w:hAnsi="微软雅黑" w:eastAsia="微软雅黑" w:cs="微软雅黑"/>
          <w:color w:val="FF0000"/>
          <w:sz w:val="32"/>
          <w:szCs w:val="32"/>
          <w:lang w:val="en-US" w:eastAsia="zh-CN"/>
          <w14:textFill>
            <w14:gradFill>
              <w14:gsLst>
                <w14:gs w14:pos="0">
                  <w14:srgbClr w14:val="007BD3"/>
                </w14:gs>
                <w14:gs w14:pos="100000">
                  <w14:srgbClr w14:val="034373"/>
                </w14:gs>
              </w14:gsLst>
              <w14:lin w14:ang="0" w14:scaled="0"/>
            </w14:gradFill>
          </w14:textFill>
        </w:rPr>
        <w:t>3</w:t>
      </w:r>
      <w:r>
        <w:rPr>
          <w:rFonts w:hint="eastAsia" w:ascii="微软雅黑" w:hAnsi="微软雅黑" w:eastAsia="微软雅黑" w:cs="微软雅黑"/>
          <w:color w:val="FF0000"/>
          <w:sz w:val="32"/>
          <w:szCs w:val="32"/>
          <w:lang w:eastAsia="zh-CN"/>
          <w14:textFill>
            <w14:gradFill>
              <w14:gsLst>
                <w14:gs w14:pos="0">
                  <w14:srgbClr w14:val="007BD3"/>
                </w14:gs>
                <w14:gs w14:pos="100000">
                  <w14:srgbClr w14:val="034373"/>
                </w14:gs>
              </w14:gsLst>
              <w14:lin w14:ang="0" w14:scaled="0"/>
            </w14:gradFill>
          </w14:textFill>
        </w:rPr>
        <w:t>.</w:t>
      </w:r>
      <w:r>
        <w:rPr>
          <w:rFonts w:hint="eastAsia" w:ascii="微软雅黑" w:hAnsi="微软雅黑" w:eastAsia="微软雅黑" w:cs="微软雅黑"/>
          <w:color w:val="FF0000"/>
          <w:sz w:val="32"/>
          <w:szCs w:val="32"/>
          <w:lang w:val="en-US" w:eastAsia="zh-CN"/>
          <w14:textFill>
            <w14:gradFill>
              <w14:gsLst>
                <w14:gs w14:pos="0">
                  <w14:srgbClr w14:val="007BD3"/>
                </w14:gs>
                <w14:gs w14:pos="100000">
                  <w14:srgbClr w14:val="034373"/>
                </w14:gs>
              </w14:gsLst>
              <w14:lin w14:ang="0" w14:scaled="0"/>
            </w14:gradFill>
          </w14:textFill>
        </w:rPr>
        <w:t>12</w:t>
      </w:r>
      <w:r>
        <w:rPr>
          <w:rFonts w:hint="eastAsia" w:ascii="微软雅黑" w:hAnsi="微软雅黑" w:eastAsia="微软雅黑" w:cs="微软雅黑"/>
          <w:color w:val="FF0000"/>
          <w:sz w:val="32"/>
          <w:szCs w:val="32"/>
          <w14:textFill>
            <w14:gradFill>
              <w14:gsLst>
                <w14:gs w14:pos="0">
                  <w14:srgbClr w14:val="007BD3"/>
                </w14:gs>
                <w14:gs w14:pos="100000">
                  <w14:srgbClr w14:val="034373"/>
                </w14:gs>
              </w14:gsLst>
              <w14:lin w14:ang="0" w14:scaled="0"/>
            </w14:gradFill>
          </w14:textFill>
        </w:rPr>
        <w:t>（总第</w:t>
      </w:r>
      <w:r>
        <w:rPr>
          <w:rFonts w:hint="eastAsia" w:ascii="微软雅黑" w:hAnsi="微软雅黑" w:eastAsia="微软雅黑" w:cs="微软雅黑"/>
          <w:color w:val="FF0000"/>
          <w:sz w:val="32"/>
          <w:szCs w:val="32"/>
          <w:lang w:val="en-US" w:eastAsia="zh-CN"/>
          <w14:textFill>
            <w14:gradFill>
              <w14:gsLst>
                <w14:gs w14:pos="0">
                  <w14:srgbClr w14:val="007BD3"/>
                </w14:gs>
                <w14:gs w14:pos="100000">
                  <w14:srgbClr w14:val="034373"/>
                </w14:gs>
              </w14:gsLst>
              <w14:lin w14:ang="0" w14:scaled="0"/>
            </w14:gradFill>
          </w14:textFill>
        </w:rPr>
        <w:t>48</w:t>
      </w:r>
      <w:r>
        <w:rPr>
          <w:rFonts w:hint="eastAsia" w:ascii="微软雅黑" w:hAnsi="微软雅黑" w:eastAsia="微软雅黑" w:cs="微软雅黑"/>
          <w:color w:val="FF0000"/>
          <w:sz w:val="32"/>
          <w:szCs w:val="32"/>
          <w14:textFill>
            <w14:gradFill>
              <w14:gsLst>
                <w14:gs w14:pos="0">
                  <w14:srgbClr w14:val="007BD3"/>
                </w14:gs>
                <w14:gs w14:pos="100000">
                  <w14:srgbClr w14:val="034373"/>
                </w14:gs>
              </w14:gsLst>
              <w14:lin w14:ang="0" w14:scaled="0"/>
            </w14:gradFill>
          </w14:textFill>
        </w:rPr>
        <w:t>期）     主办：山西省铸造行业协会</w:t>
      </w:r>
    </w:p>
    <w:p>
      <w:pPr>
        <w:jc w:val="both"/>
      </w:pPr>
      <w:r>
        <w:rPr>
          <w:sz w:val="32"/>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159385</wp:posOffset>
                </wp:positionV>
                <wp:extent cx="5299710" cy="6985"/>
                <wp:effectExtent l="0" t="4445" r="3810" b="11430"/>
                <wp:wrapNone/>
                <wp:docPr id="1" name="直接连接符 1"/>
                <wp:cNvGraphicFramePr/>
                <a:graphic xmlns:a="http://schemas.openxmlformats.org/drawingml/2006/main">
                  <a:graphicData uri="http://schemas.microsoft.com/office/word/2010/wordprocessingShape">
                    <wps:wsp>
                      <wps:cNvCnPr/>
                      <wps:spPr>
                        <a:xfrm flipV="1">
                          <a:off x="1151255" y="1974215"/>
                          <a:ext cx="5299710" cy="698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flip:y;margin-left:0.1pt;margin-top:12.55pt;height:0.55pt;width:417.3pt;z-index:251660288;mso-width-relative:page;mso-height-relative:page;" filled="f" stroked="t" coordsize="21600,21600" o:gfxdata="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n4mxx1AAAAAYBAAAPAAAAAAAAAAEAIAAAACIAAABkcnMvZG93bnJldi54bWxQSwEC&#10;FAAUAAAACACHTuJAZY+ICvgBAADLAwAADgAAAAAAAAABACAAAAAjAQAAZHJzL2Uyb0RvYy54bWxQ&#10;SwUGAAAAAAYABgBZAQAAjQUAAAAA&#10;">
                <v:fill on="f" focussize="0,0"/>
                <v:stroke weight="1pt" color="#000000 [3200]" miterlimit="8" joinstyle="miter"/>
                <v:imagedata o:title=""/>
                <o:lock v:ext="edit" aspectratio="f"/>
              </v:line>
            </w:pict>
          </mc:Fallback>
        </mc:AlternateContent>
      </w:r>
    </w:p>
    <w:p>
      <w:pPr>
        <w:jc w:val="center"/>
      </w:pPr>
    </w:p>
    <w:p>
      <w:pPr>
        <w:jc w:val="center"/>
        <w:rPr>
          <w:rFonts w:hint="eastAsia" w:ascii="幼圆" w:hAnsi="幼圆" w:eastAsia="幼圆" w:cs="幼圆"/>
          <w:b/>
          <w:bCs/>
          <w:color w:val="FF0000"/>
          <w:w w:val="150"/>
          <w:sz w:val="36"/>
          <w:szCs w:val="44"/>
          <w:highlight w:val="none"/>
          <w:lang w:val="en-US"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props3d w14:extrusionH="0" w14:contourW="0" w14:prstMaterial="clear"/>
        </w:rPr>
      </w:pPr>
      <w:r>
        <w:rPr>
          <w:rFonts w:hint="eastAsia" w:ascii="幼圆" w:hAnsi="幼圆" w:eastAsia="幼圆" w:cs="幼圆"/>
          <w:b/>
          <w:bCs/>
          <w:color w:val="FF0000"/>
          <w:w w:val="150"/>
          <w:sz w:val="36"/>
          <w:szCs w:val="44"/>
          <w:highlight w:val="none"/>
          <w:lang w:val="en-US"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props3d w14:extrusionH="0" w14:contourW="0" w14:prstMaterial="clear"/>
        </w:rPr>
        <w:t>山西省铸造行业协会与各界同仁</w:t>
      </w:r>
    </w:p>
    <w:p>
      <w:pPr>
        <w:jc w:val="center"/>
        <w:rPr>
          <w:rFonts w:hint="eastAsia" w:ascii="幼圆" w:hAnsi="幼圆" w:eastAsia="幼圆" w:cs="幼圆"/>
          <w:b/>
          <w:bCs/>
          <w:color w:val="FF0000"/>
          <w:w w:val="150"/>
          <w:sz w:val="36"/>
          <w:szCs w:val="44"/>
          <w:highlight w:val="none"/>
          <w:lang w:val="en-US"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props3d w14:extrusionH="0" w14:contourW="0" w14:prstMaterial="clear"/>
        </w:rPr>
      </w:pPr>
      <w:r>
        <w:rPr>
          <w:rFonts w:hint="eastAsia" w:ascii="幼圆" w:hAnsi="幼圆" w:eastAsia="幼圆" w:cs="幼圆"/>
          <w:b/>
          <w:bCs/>
          <w:color w:val="FF0000"/>
          <w:w w:val="150"/>
          <w:sz w:val="36"/>
          <w:szCs w:val="44"/>
          <w:highlight w:val="none"/>
          <w:lang w:val="en-US"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props3d w14:extrusionH="0" w14:contourW="0" w14:prstMaterial="clear"/>
        </w:rPr>
        <w:t>庆祝元旦  共迎新年</w:t>
      </w:r>
    </w:p>
    <w:p>
      <w:pPr>
        <w:jc w:val="center"/>
        <w:rPr>
          <w:rFonts w:hint="eastAsia" w:ascii="幼圆" w:hAnsi="幼圆" w:eastAsia="幼圆" w:cs="幼圆"/>
          <w:b/>
          <w:bCs/>
          <w:color w:val="C00000"/>
          <w:w w:val="150"/>
          <w:sz w:val="36"/>
          <w:szCs w:val="44"/>
          <w:highlight w:val="none"/>
          <w:lang w:val="en-US" w:eastAsia="zh-CN"/>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chemeClr w14:val="accent2"/>
            </w14:solidFill>
            <w14:prstDash w14:val="solid"/>
            <w14:round/>
          </w14:textOutline>
          <w14:props3d w14:extrusionH="0" w14:contourW="0" w14:prstMaterial="clear"/>
        </w:rPr>
      </w:pPr>
    </w:p>
    <w:p>
      <w:pPr>
        <w:jc w:val="center"/>
        <w:rPr>
          <w:rFonts w:hint="eastAsia" w:eastAsiaTheme="minorEastAsia"/>
          <w:lang w:eastAsia="zh-CN"/>
        </w:rPr>
      </w:pPr>
      <w:r>
        <w:rPr>
          <w:rFonts w:hint="eastAsia" w:eastAsiaTheme="minorEastAsia"/>
          <w:lang w:eastAsia="zh-CN"/>
        </w:rPr>
        <w:drawing>
          <wp:inline distT="0" distB="0" distL="114300" distR="114300">
            <wp:extent cx="4638675" cy="5346065"/>
            <wp:effectExtent l="0" t="0" r="9525" b="635"/>
            <wp:docPr id="50" name="图片 50" descr="微信图片_2023123007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微信图片_20231230071407"/>
                    <pic:cNvPicPr>
                      <a:picLocks noChangeAspect="1"/>
                    </pic:cNvPicPr>
                  </pic:nvPicPr>
                  <pic:blipFill>
                    <a:blip r:embed="rId7"/>
                    <a:stretch>
                      <a:fillRect/>
                    </a:stretch>
                  </pic:blipFill>
                  <pic:spPr>
                    <a:xfrm>
                      <a:off x="0" y="0"/>
                      <a:ext cx="4638675" cy="5346065"/>
                    </a:xfrm>
                    <a:prstGeom prst="rect">
                      <a:avLst/>
                    </a:prstGeom>
                  </pic:spPr>
                </pic:pic>
              </a:graphicData>
            </a:graphic>
          </wp:inline>
        </w:drawing>
      </w:r>
    </w:p>
    <w:p>
      <w:pPr>
        <w:jc w:val="center"/>
        <w:rPr>
          <w:rFonts w:hint="eastAsia" w:eastAsiaTheme="minorEastAsia"/>
          <w:lang w:eastAsia="zh-CN"/>
        </w:rPr>
      </w:pPr>
    </w:p>
    <w:p>
      <w:pPr>
        <w:jc w:val="center"/>
      </w:pPr>
      <w:r>
        <w:drawing>
          <wp:inline distT="0" distB="0" distL="114300" distR="114300">
            <wp:extent cx="227965" cy="184785"/>
            <wp:effectExtent l="0" t="0" r="635" b="571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r>
        <w:drawing>
          <wp:inline distT="0" distB="0" distL="114300" distR="114300">
            <wp:extent cx="227965" cy="184785"/>
            <wp:effectExtent l="0" t="0" r="635" b="571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8"/>
                    <a:stretch>
                      <a:fillRect/>
                    </a:stretch>
                  </pic:blipFill>
                  <pic:spPr>
                    <a:xfrm>
                      <a:off x="0" y="0"/>
                      <a:ext cx="227965" cy="184785"/>
                    </a:xfrm>
                    <a:prstGeom prst="rect">
                      <a:avLst/>
                    </a:prstGeom>
                    <a:noFill/>
                    <a:ln>
                      <a:noFill/>
                    </a:ln>
                  </pic:spPr>
                </pic:pic>
              </a:graphicData>
            </a:graphic>
          </wp:inline>
        </w:drawing>
      </w:r>
    </w:p>
    <w:p>
      <w:pPr>
        <w:jc w:val="center"/>
      </w:pPr>
    </w:p>
    <w:p>
      <w:pPr>
        <w:jc w:val="center"/>
        <w:rPr>
          <w:rFonts w:hint="eastAsia" w:eastAsiaTheme="minorEastAsia"/>
          <w:lang w:eastAsia="zh-CN"/>
        </w:rPr>
      </w:pPr>
      <w:r>
        <w:rPr>
          <w:rFonts w:hint="eastAsia" w:eastAsiaTheme="minorEastAsia"/>
          <w:lang w:eastAsia="zh-CN"/>
        </w:rPr>
        <w:drawing>
          <wp:inline distT="0" distB="0" distL="114300" distR="114300">
            <wp:extent cx="5247005" cy="3747770"/>
            <wp:effectExtent l="0" t="0" r="10795" b="11430"/>
            <wp:docPr id="54" name="图片 54" descr="微信图片_20230331155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微信图片_20230331155147"/>
                    <pic:cNvPicPr>
                      <a:picLocks noChangeAspect="1"/>
                    </pic:cNvPicPr>
                  </pic:nvPicPr>
                  <pic:blipFill>
                    <a:blip r:embed="rId9"/>
                    <a:stretch>
                      <a:fillRect/>
                    </a:stretch>
                  </pic:blipFill>
                  <pic:spPr>
                    <a:xfrm>
                      <a:off x="0" y="0"/>
                      <a:ext cx="5247005" cy="3747770"/>
                    </a:xfrm>
                    <a:prstGeom prst="rect">
                      <a:avLst/>
                    </a:prstGeom>
                  </pic:spPr>
                </pic:pic>
              </a:graphicData>
            </a:graphic>
          </wp:inline>
        </w:drawing>
      </w:r>
    </w:p>
    <w:p>
      <w:pPr>
        <w:jc w:val="center"/>
        <w:rPr>
          <w:rFonts w:hint="eastAsia" w:eastAsiaTheme="minorEastAsia"/>
          <w:lang w:eastAsia="zh-CN"/>
        </w:rPr>
      </w:pPr>
    </w:p>
    <w:p>
      <w:pPr>
        <w:jc w:val="center"/>
        <w:rPr>
          <w:rFonts w:hint="eastAsia" w:eastAsia="仿宋"/>
          <w:sz w:val="24"/>
          <w:szCs w:val="24"/>
          <w:lang w:val="en-US" w:eastAsia="zh-CN"/>
        </w:rPr>
      </w:pPr>
      <w:r>
        <w:rPr>
          <w:rFonts w:hint="eastAsia" w:eastAsiaTheme="minorEastAsia"/>
          <w:lang w:eastAsia="zh-CN"/>
        </w:rPr>
        <w:drawing>
          <wp:inline distT="0" distB="0" distL="114300" distR="114300">
            <wp:extent cx="5266055" cy="3761740"/>
            <wp:effectExtent l="0" t="0" r="4445" b="10160"/>
            <wp:docPr id="80" name="图片 80" descr="微信图片_20230331155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微信图片_20230331155134"/>
                    <pic:cNvPicPr>
                      <a:picLocks noChangeAspect="1"/>
                    </pic:cNvPicPr>
                  </pic:nvPicPr>
                  <pic:blipFill>
                    <a:blip r:embed="rId10"/>
                    <a:stretch>
                      <a:fillRect/>
                    </a:stretch>
                  </pic:blipFill>
                  <pic:spPr>
                    <a:xfrm>
                      <a:off x="0" y="0"/>
                      <a:ext cx="5266055" cy="3761740"/>
                    </a:xfrm>
                    <a:prstGeom prst="rect">
                      <a:avLst/>
                    </a:prstGeom>
                  </pic:spPr>
                </pic:pic>
              </a:graphicData>
            </a:graphic>
          </wp:inline>
        </w:drawing>
      </w:r>
    </w:p>
    <w:p>
      <w:pPr>
        <w:spacing w:line="360" w:lineRule="auto"/>
        <w:jc w:val="center"/>
        <w:rPr>
          <w:rFonts w:hint="eastAsia" w:ascii="仿宋" w:hAnsi="仿宋" w:eastAsia="仿宋" w:cs="仿宋"/>
          <w:b/>
          <w:bCs/>
          <w:sz w:val="28"/>
          <w:szCs w:val="28"/>
        </w:rPr>
      </w:pPr>
      <w:r>
        <w:rPr>
          <w:rFonts w:hint="eastAsia" w:ascii="仿宋" w:hAnsi="仿宋" w:eastAsia="仿宋" w:cs="仿宋"/>
          <w:b/>
          <w:bCs/>
          <w:color w:val="FF0000"/>
          <w:sz w:val="24"/>
          <w:szCs w:val="24"/>
        </w:rPr>
        <w:t>“恒瑞杯” 山西铸造行业摄影大赛优秀作品</w:t>
      </w:r>
    </w:p>
    <w:p>
      <w:pPr>
        <w:jc w:val="center"/>
        <w:rPr>
          <w:rFonts w:hint="eastAsia" w:ascii="仿宋" w:hAnsi="仿宋" w:eastAsia="仿宋" w:cs="仿宋"/>
          <w:b/>
          <w:bCs/>
          <w:sz w:val="28"/>
          <w:szCs w:val="28"/>
        </w:rPr>
      </w:pPr>
    </w:p>
    <w:p>
      <w:pPr>
        <w:jc w:val="center"/>
        <w:rPr>
          <w:rFonts w:ascii="仿宋" w:hAnsi="仿宋" w:eastAsia="仿宋" w:cs="仿宋"/>
          <w:b/>
          <w:bCs/>
          <w:color w:val="FF0000"/>
          <w:sz w:val="28"/>
          <w:szCs w:val="28"/>
        </w:rPr>
      </w:pPr>
      <w:r>
        <w:rPr>
          <w:rFonts w:hint="eastAsia" w:ascii="仿宋" w:hAnsi="仿宋" w:eastAsia="仿宋" w:cs="仿宋"/>
          <w:b/>
          <w:bCs/>
          <w:sz w:val="28"/>
          <w:szCs w:val="28"/>
        </w:rPr>
        <w:t>目  录</w:t>
      </w:r>
    </w:p>
    <w:p>
      <w:pPr>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b/>
          <w:bCs/>
          <w:color w:val="0070C0"/>
          <w:sz w:val="28"/>
          <w:szCs w:val="28"/>
        </w:rPr>
      </w:pPr>
      <w:r>
        <w:rPr>
          <w:rFonts w:hint="eastAsia" w:ascii="仿宋" w:hAnsi="仿宋" w:eastAsia="仿宋" w:cs="仿宋"/>
          <w:b/>
          <w:bCs/>
          <w:color w:val="0070C0"/>
          <w:sz w:val="28"/>
          <w:szCs w:val="28"/>
          <w:lang w:val="en-US" w:eastAsia="zh-CN"/>
        </w:rPr>
        <w:t>1.</w:t>
      </w:r>
      <w:r>
        <w:rPr>
          <w:rFonts w:hint="eastAsia" w:ascii="仿宋" w:hAnsi="仿宋" w:eastAsia="仿宋" w:cs="仿宋"/>
          <w:b/>
          <w:bCs/>
          <w:color w:val="0070C0"/>
          <w:sz w:val="28"/>
          <w:szCs w:val="28"/>
        </w:rPr>
        <w:t>热点新闻</w:t>
      </w:r>
    </w:p>
    <w:p>
      <w:pPr>
        <w:keepNext w:val="0"/>
        <w:keepLines w:val="0"/>
        <w:pageBreakBefore w:val="0"/>
        <w:widowControl w:val="0"/>
        <w:kinsoku/>
        <w:wordWrap/>
        <w:overflowPunct/>
        <w:topLinePunct w:val="0"/>
        <w:bidi w:val="0"/>
        <w:snapToGrid/>
        <w:spacing w:line="520" w:lineRule="exact"/>
        <w:jc w:val="both"/>
        <w:textAlignment w:val="auto"/>
        <w:rPr>
          <w:rFonts w:hint="eastAsia" w:ascii="仿宋" w:hAnsi="仿宋" w:eastAsia="仿宋" w:cs="仿宋"/>
          <w:b/>
          <w:bCs/>
          <w:kern w:val="0"/>
          <w:sz w:val="22"/>
          <w:szCs w:val="22"/>
          <w:lang w:val="en-US" w:eastAsia="zh-CN" w:bidi="ar"/>
        </w:rPr>
      </w:pPr>
      <w:r>
        <w:rPr>
          <w:rFonts w:hint="eastAsia" w:ascii="仿宋" w:hAnsi="仿宋" w:eastAsia="仿宋" w:cs="仿宋"/>
          <w:b/>
          <w:bCs/>
          <w:kern w:val="0"/>
          <w:sz w:val="24"/>
          <w:szCs w:val="24"/>
          <w:lang w:val="en-US" w:eastAsia="zh-CN" w:bidi="ar"/>
        </w:rPr>
        <w:t>1.1</w:t>
      </w:r>
      <w:r>
        <w:rPr>
          <w:rFonts w:hint="eastAsia" w:ascii="仿宋" w:hAnsi="仿宋" w:eastAsia="仿宋" w:cs="仿宋"/>
          <w:b/>
          <w:bCs/>
          <w:kern w:val="0"/>
          <w:sz w:val="22"/>
          <w:szCs w:val="22"/>
          <w:lang w:val="en-US" w:eastAsia="zh-CN" w:bidi="ar"/>
        </w:rPr>
        <w:t xml:space="preserve"> </w:t>
      </w:r>
      <w:r>
        <w:rPr>
          <w:rFonts w:hint="eastAsia" w:ascii="仿宋" w:hAnsi="仿宋" w:eastAsia="仿宋" w:cs="仿宋"/>
          <w:b/>
          <w:bCs/>
          <w:sz w:val="24"/>
          <w:szCs w:val="32"/>
        </w:rPr>
        <w:t>习近平论现代化产业体系</w:t>
      </w:r>
    </w:p>
    <w:p>
      <w:pPr>
        <w:keepNext w:val="0"/>
        <w:keepLines w:val="0"/>
        <w:pageBreakBefore w:val="0"/>
        <w:widowControl w:val="0"/>
        <w:kinsoku/>
        <w:wordWrap/>
        <w:overflowPunct/>
        <w:topLinePunct w:val="0"/>
        <w:bidi w:val="0"/>
        <w:snapToGrid/>
        <w:spacing w:line="520" w:lineRule="exact"/>
        <w:jc w:val="left"/>
        <w:textAlignment w:val="auto"/>
        <w:rPr>
          <w:rFonts w:hint="eastAsia" w:ascii="仿宋" w:hAnsi="仿宋" w:eastAsia="仿宋" w:cs="仿宋"/>
          <w:b/>
          <w:bCs/>
          <w:color w:val="000000" w:themeColor="text1"/>
          <w:sz w:val="24"/>
          <w:szCs w:val="32"/>
          <w14:textFill>
            <w14:solidFill>
              <w14:schemeClr w14:val="tx1"/>
            </w14:solidFill>
          </w14:textFill>
        </w:rPr>
      </w:pPr>
      <w:r>
        <w:rPr>
          <w:rFonts w:hint="eastAsia" w:ascii="仿宋" w:hAnsi="仿宋" w:eastAsia="仿宋" w:cs="仿宋"/>
          <w:b/>
          <w:bCs/>
          <w:color w:val="000000" w:themeColor="text1"/>
          <w:sz w:val="24"/>
          <w:szCs w:val="32"/>
          <w:lang w:val="en-US" w:eastAsia="zh-CN"/>
          <w14:textFill>
            <w14:solidFill>
              <w14:schemeClr w14:val="tx1"/>
            </w14:solidFill>
          </w14:textFill>
        </w:rPr>
        <w:t xml:space="preserve">1.2 </w:t>
      </w:r>
      <w:r>
        <w:rPr>
          <w:rFonts w:hint="eastAsia" w:ascii="仿宋" w:hAnsi="仿宋" w:eastAsia="仿宋" w:cs="仿宋"/>
          <w:b/>
          <w:bCs/>
          <w:color w:val="000000" w:themeColor="text1"/>
          <w:sz w:val="24"/>
          <w:szCs w:val="32"/>
          <w14:textFill>
            <w14:solidFill>
              <w14:schemeClr w14:val="tx1"/>
            </w14:solidFill>
          </w14:textFill>
        </w:rPr>
        <w:t>习近平论加快传统制造业数字化网络化智能化改造</w:t>
      </w:r>
    </w:p>
    <w:p>
      <w:pPr>
        <w:pStyle w:val="31"/>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000000" w:themeColor="text1"/>
          <w:sz w:val="24"/>
          <w:szCs w:val="32"/>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 xml:space="preserve">1.3 </w:t>
      </w:r>
      <w:r>
        <w:rPr>
          <w:rFonts w:hint="eastAsia" w:ascii="仿宋" w:hAnsi="仿宋" w:eastAsia="仿宋" w:cs="仿宋"/>
          <w:b/>
          <w:bCs/>
          <w:sz w:val="24"/>
          <w:szCs w:val="32"/>
        </w:rPr>
        <w:t>中央屡次强调“新质生产力”释放了什么信号？十个方面全解析</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1.4 工信部原部长苗圩：我们要解决的不是高耗能，而是能耗高的问题</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 xml:space="preserve">1.5 大盘点！山西新增6条省级重点产业链和8家省级重点专业镇 </w:t>
      </w:r>
    </w:p>
    <w:p>
      <w:pPr>
        <w:keepNext w:val="0"/>
        <w:keepLines w:val="0"/>
        <w:pageBreakBefore w:val="0"/>
        <w:widowControl w:val="0"/>
        <w:kinsoku/>
        <w:wordWrap/>
        <w:overflowPunct/>
        <w:topLinePunct w:val="0"/>
        <w:bidi w:val="0"/>
        <w:snapToGrid/>
        <w:spacing w:line="520" w:lineRule="exact"/>
        <w:textAlignment w:val="auto"/>
        <w:rPr>
          <w:rFonts w:hint="default" w:ascii="仿宋" w:hAnsi="仿宋" w:eastAsia="仿宋" w:cs="仿宋"/>
          <w:b/>
          <w:bCs/>
          <w:sz w:val="24"/>
          <w:szCs w:val="32"/>
          <w:lang w:val="en-US" w:eastAsia="zh-CN"/>
        </w:rPr>
      </w:pPr>
      <w:r>
        <w:rPr>
          <w:rFonts w:hint="eastAsia" w:ascii="仿宋" w:hAnsi="仿宋" w:eastAsia="仿宋" w:cs="仿宋"/>
          <w:b/>
          <w:bCs/>
          <w:sz w:val="24"/>
          <w:szCs w:val="32"/>
          <w:lang w:val="en-US" w:eastAsia="zh-CN"/>
        </w:rPr>
        <w:t>1.6  人民日报：让行业协会走向前台</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0070C0"/>
          <w:sz w:val="28"/>
          <w:szCs w:val="28"/>
          <w:lang w:val="en-US" w:eastAsia="zh-CN"/>
        </w:rPr>
      </w:pPr>
      <w:r>
        <w:rPr>
          <w:rFonts w:hint="eastAsia" w:ascii="仿宋" w:hAnsi="仿宋" w:eastAsia="仿宋" w:cs="仿宋"/>
          <w:b/>
          <w:bCs/>
          <w:sz w:val="24"/>
          <w:szCs w:val="32"/>
          <w:lang w:val="en-US" w:eastAsia="zh-CN"/>
        </w:rPr>
        <w:t>1.7  山西省委经济工作会议在太原举行</w:t>
      </w:r>
    </w:p>
    <w:p>
      <w:pPr>
        <w:keepNext w:val="0"/>
        <w:keepLines w:val="0"/>
        <w:pageBreakBefore w:val="0"/>
        <w:widowControl w:val="0"/>
        <w:kinsoku/>
        <w:wordWrap/>
        <w:overflowPunct/>
        <w:topLinePunct w:val="0"/>
        <w:bidi w:val="0"/>
        <w:snapToGrid/>
        <w:spacing w:line="360" w:lineRule="auto"/>
        <w:jc w:val="both"/>
        <w:textAlignment w:val="auto"/>
        <w:rPr>
          <w:rFonts w:hint="default" w:ascii="仿宋" w:hAnsi="仿宋" w:eastAsia="仿宋" w:cs="仿宋"/>
          <w:b/>
          <w:bCs/>
          <w:color w:val="0070C0"/>
          <w:sz w:val="28"/>
          <w:szCs w:val="28"/>
          <w:lang w:val="en-US" w:eastAsia="zh-CN"/>
        </w:rPr>
      </w:pPr>
      <w:r>
        <w:rPr>
          <w:rFonts w:hint="eastAsia" w:ascii="仿宋" w:hAnsi="仿宋" w:eastAsia="仿宋" w:cs="仿宋"/>
          <w:b/>
          <w:bCs/>
          <w:color w:val="0070C0"/>
          <w:sz w:val="28"/>
          <w:szCs w:val="28"/>
          <w:lang w:val="en-US" w:eastAsia="zh-CN"/>
        </w:rPr>
        <w:t>2.行业活动</w:t>
      </w:r>
    </w:p>
    <w:p>
      <w:pPr>
        <w:pStyle w:val="31"/>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2.1 协会动态</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2.1.1 省铸协参加太谷区铸造协会第四届会员大会</w:t>
      </w:r>
    </w:p>
    <w:p>
      <w:pPr>
        <w:pStyle w:val="31"/>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2.1.2 《铸造用自硬呋喃树脂》机械行业标准在济南通过审查</w:t>
      </w:r>
    </w:p>
    <w:p>
      <w:pPr>
        <w:pStyle w:val="31"/>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auto"/>
          <w:sz w:val="24"/>
          <w:szCs w:val="32"/>
          <w:lang w:val="en-US" w:eastAsia="zh-CN"/>
        </w:rPr>
      </w:pPr>
      <w:r>
        <w:rPr>
          <w:rFonts w:hint="eastAsia" w:ascii="仿宋" w:hAnsi="仿宋" w:eastAsia="仿宋" w:cs="仿宋"/>
          <w:b/>
          <w:bCs/>
          <w:sz w:val="24"/>
          <w:szCs w:val="32"/>
          <w:lang w:val="en-US" w:eastAsia="zh-CN"/>
        </w:rPr>
        <w:t xml:space="preserve">2.1.3 </w:t>
      </w:r>
      <w:r>
        <w:rPr>
          <w:rFonts w:hint="eastAsia" w:ascii="仿宋" w:hAnsi="仿宋" w:eastAsia="仿宋" w:cs="仿宋"/>
          <w:b/>
          <w:bCs/>
          <w:color w:val="auto"/>
          <w:sz w:val="24"/>
          <w:szCs w:val="32"/>
          <w:lang w:val="en-US" w:eastAsia="zh-CN"/>
        </w:rPr>
        <w:t>中国铸造行业绿色低碳发展研讨会在京召开</w:t>
      </w:r>
    </w:p>
    <w:p>
      <w:pPr>
        <w:keepNext w:val="0"/>
        <w:keepLines w:val="0"/>
        <w:pageBreakBefore w:val="0"/>
        <w:widowControl w:val="0"/>
        <w:kinsoku/>
        <w:wordWrap/>
        <w:overflowPunct/>
        <w:topLinePunct w:val="0"/>
        <w:bidi w:val="0"/>
        <w:snapToGrid/>
        <w:spacing w:line="520" w:lineRule="exact"/>
        <w:textAlignment w:val="auto"/>
        <w:rPr>
          <w:rFonts w:hint="default" w:ascii="仿宋" w:hAnsi="仿宋" w:eastAsia="仿宋" w:cs="仿宋"/>
          <w:b/>
          <w:bCs/>
          <w:color w:val="auto"/>
          <w:sz w:val="24"/>
          <w:szCs w:val="32"/>
          <w:lang w:val="en-US" w:eastAsia="zh-CN"/>
        </w:rPr>
      </w:pPr>
      <w:r>
        <w:rPr>
          <w:rFonts w:hint="eastAsia" w:ascii="仿宋" w:hAnsi="仿宋" w:eastAsia="仿宋" w:cs="仿宋"/>
          <w:b/>
          <w:bCs/>
          <w:color w:val="auto"/>
          <w:sz w:val="24"/>
          <w:szCs w:val="32"/>
          <w:lang w:val="en-US" w:eastAsia="zh-CN"/>
        </w:rPr>
        <w:t>2.1.4 泽州获授山西省级重点铸造专业镇牌匾</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right="0" w:rightChars="0"/>
        <w:jc w:val="both"/>
        <w:textAlignment w:val="auto"/>
        <w:outlineLvl w:val="9"/>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2.2 会议一览表</w:t>
      </w:r>
    </w:p>
    <w:p>
      <w:pPr>
        <w:pStyle w:val="31"/>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lang w:val="en-US" w:eastAsia="zh-CN"/>
        </w:rPr>
      </w:pPr>
      <w:r>
        <w:rPr>
          <w:rFonts w:hint="eastAsia" w:ascii="仿宋" w:hAnsi="仿宋" w:eastAsia="仿宋" w:cs="仿宋"/>
          <w:b/>
          <w:bCs/>
          <w:lang w:val="en-US" w:eastAsia="zh-CN"/>
        </w:rPr>
        <w:t>2.3 铸造相关的重要活动</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right="0" w:rightChars="0"/>
        <w:jc w:val="both"/>
        <w:textAlignment w:val="auto"/>
        <w:outlineLvl w:val="9"/>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2.3.1 关于全面开展2023年“中级注册安全工程师”考前辅导培训班的通知</w:t>
      </w:r>
    </w:p>
    <w:p>
      <w:pPr>
        <w:pStyle w:val="31"/>
        <w:keepNext w:val="0"/>
        <w:keepLines w:val="0"/>
        <w:pageBreakBefore w:val="0"/>
        <w:widowControl w:val="0"/>
        <w:kinsoku/>
        <w:wordWrap/>
        <w:overflowPunct/>
        <w:topLinePunct w:val="0"/>
        <w:bidi w:val="0"/>
        <w:snapToGrid/>
        <w:spacing w:line="520" w:lineRule="exact"/>
        <w:textAlignment w:val="auto"/>
        <w:rPr>
          <w:rFonts w:hint="default"/>
          <w:lang w:val="en-US" w:eastAsia="zh-CN"/>
        </w:rPr>
      </w:pPr>
      <w:r>
        <w:rPr>
          <w:rFonts w:hint="eastAsia" w:ascii="仿宋" w:hAnsi="仿宋" w:eastAsia="仿宋" w:cs="仿宋"/>
          <w:b/>
          <w:bCs/>
          <w:color w:val="000000" w:themeColor="text1"/>
          <w:sz w:val="24"/>
          <w:szCs w:val="24"/>
          <w:lang w:val="en-US" w:eastAsia="zh-CN"/>
          <w14:textFill>
            <w14:solidFill>
              <w14:schemeClr w14:val="tx1"/>
            </w14:solidFill>
          </w14:textFill>
        </w:rPr>
        <w:t xml:space="preserve">2.3.2 关于开展“碳减排领域专业技能岗位人才培训及考试”的通知 </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2.3.3 关于开展两化融合管理体系分级贯标工作的通知</w:t>
      </w:r>
    </w:p>
    <w:p>
      <w:pPr>
        <w:pStyle w:val="31"/>
        <w:keepNext w:val="0"/>
        <w:keepLines w:val="0"/>
        <w:pageBreakBefore w:val="0"/>
        <w:widowControl w:val="0"/>
        <w:kinsoku/>
        <w:wordWrap/>
        <w:overflowPunct/>
        <w:topLinePunct w:val="0"/>
        <w:bidi w:val="0"/>
        <w:snapToGrid/>
        <w:spacing w:line="520" w:lineRule="exact"/>
        <w:textAlignment w:val="auto"/>
        <w:rPr>
          <w:rFonts w:hint="default"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 xml:space="preserve">2.3.4  关于“光伏发电绿色项目”推广的通知   </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2.3.5  关于征集2024年团体标准项目的通知</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2.3.6  关于征集我省铸造业高质量发展研究论文（调查报告）的通知</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2.3.7  “中国铸造协会大学堂”——铸造工程师与铸造工系列培训报名开始</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2.3.8  关于组织参加“智能制造专家诊断评估”活动的通知</w:t>
      </w:r>
    </w:p>
    <w:p>
      <w:pPr>
        <w:keepNext w:val="0"/>
        <w:keepLines w:val="0"/>
        <w:pageBreakBefore w:val="0"/>
        <w:widowControl w:val="0"/>
        <w:kinsoku/>
        <w:wordWrap/>
        <w:overflowPunct/>
        <w:topLinePunct w:val="0"/>
        <w:bidi w:val="0"/>
        <w:snapToGrid/>
        <w:spacing w:line="520" w:lineRule="exact"/>
        <w:textAlignment w:val="auto"/>
        <w:rPr>
          <w:rFonts w:hint="default"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2.3.9  关于征集《铸造工厂工装模具数字化管理规范》团体标准参编单位的通知</w:t>
      </w:r>
    </w:p>
    <w:p>
      <w:pPr>
        <w:pStyle w:val="31"/>
        <w:numPr>
          <w:ilvl w:val="0"/>
          <w:numId w:val="1"/>
        </w:numPr>
        <w:spacing w:line="480" w:lineRule="auto"/>
        <w:rPr>
          <w:rFonts w:hint="eastAsia" w:ascii="仿宋" w:hAnsi="仿宋" w:eastAsia="仿宋" w:cs="仿宋"/>
          <w:b/>
          <w:bCs/>
          <w:color w:val="0070C0"/>
          <w:sz w:val="28"/>
          <w:szCs w:val="28"/>
          <w:lang w:val="en-US" w:eastAsia="zh-CN"/>
        </w:rPr>
      </w:pPr>
      <w:r>
        <w:rPr>
          <w:rFonts w:hint="eastAsia" w:ascii="仿宋" w:hAnsi="仿宋" w:eastAsia="仿宋" w:cs="仿宋"/>
          <w:b/>
          <w:bCs/>
          <w:color w:val="0070C0"/>
          <w:sz w:val="28"/>
          <w:szCs w:val="28"/>
          <w:lang w:val="en-US" w:eastAsia="zh-CN"/>
        </w:rPr>
        <w:t>企业风采</w:t>
      </w:r>
    </w:p>
    <w:p>
      <w:pPr>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3.1 再签单！太重铸造起重机迎来海外“回头客”</w:t>
      </w:r>
    </w:p>
    <w:p>
      <w:pPr>
        <w:pStyle w:val="31"/>
        <w:keepNext w:val="0"/>
        <w:keepLines w:val="0"/>
        <w:pageBreakBefore w:val="0"/>
        <w:widowControl w:val="0"/>
        <w:kinsoku/>
        <w:wordWrap/>
        <w:overflowPunct/>
        <w:topLinePunct w:val="0"/>
        <w:bidi w:val="0"/>
        <w:snapToGrid/>
        <w:spacing w:line="520" w:lineRule="exact"/>
        <w:textAlignment w:val="auto"/>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3.2 提高生产科技含量  提升企业核心竞争力</w:t>
      </w:r>
    </w:p>
    <w:p>
      <w:pPr>
        <w:pStyle w:val="31"/>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leftChars="0"/>
        <w:textAlignment w:val="auto"/>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3.3 山西鼎泰银瑞过滤器制造股份有限公司</w:t>
      </w:r>
    </w:p>
    <w:p>
      <w:pPr>
        <w:pStyle w:val="31"/>
        <w:keepNext w:val="0"/>
        <w:keepLines w:val="0"/>
        <w:pageBreakBefore w:val="0"/>
        <w:widowControl w:val="0"/>
        <w:numPr>
          <w:ilvl w:val="0"/>
          <w:numId w:val="0"/>
        </w:numPr>
        <w:kinsoku/>
        <w:wordWrap/>
        <w:overflowPunct/>
        <w:topLinePunct w:val="0"/>
        <w:autoSpaceDE w:val="0"/>
        <w:autoSpaceDN w:val="0"/>
        <w:bidi w:val="0"/>
        <w:adjustRightInd w:val="0"/>
        <w:snapToGrid/>
        <w:spacing w:line="520" w:lineRule="exact"/>
        <w:ind w:leftChars="0"/>
        <w:textAlignment w:val="auto"/>
        <w:rPr>
          <w:rFonts w:hint="eastAsia" w:ascii="仿宋" w:hAnsi="仿宋" w:eastAsia="仿宋" w:cs="仿宋"/>
          <w:b/>
          <w:bCs/>
          <w:color w:val="0070C0"/>
          <w:sz w:val="28"/>
          <w:szCs w:val="28"/>
        </w:rPr>
      </w:pPr>
      <w:r>
        <w:rPr>
          <w:rFonts w:hint="eastAsia" w:ascii="仿宋" w:hAnsi="仿宋" w:eastAsia="仿宋" w:cs="仿宋"/>
          <w:b/>
          <w:bCs/>
          <w:sz w:val="24"/>
          <w:szCs w:val="24"/>
          <w:lang w:val="en-US" w:eastAsia="zh-CN"/>
        </w:rPr>
        <w:t>3.4  翊恒新材料（山西）有限公司</w:t>
      </w:r>
    </w:p>
    <w:p>
      <w:pPr>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b/>
          <w:bCs/>
          <w:sz w:val="28"/>
          <w:szCs w:val="28"/>
        </w:rPr>
      </w:pPr>
      <w:r>
        <w:rPr>
          <w:rFonts w:hint="eastAsia" w:ascii="仿宋" w:hAnsi="仿宋" w:eastAsia="仿宋" w:cs="仿宋"/>
          <w:b/>
          <w:bCs/>
          <w:color w:val="0070C0"/>
          <w:sz w:val="28"/>
          <w:szCs w:val="28"/>
        </w:rPr>
        <w:t>4.政务信息</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 xml:space="preserve">4.1 </w:t>
      </w:r>
      <w:r>
        <w:rPr>
          <w:rFonts w:hint="eastAsia" w:ascii="仿宋" w:hAnsi="仿宋" w:eastAsia="仿宋" w:cs="仿宋"/>
          <w:b/>
          <w:bCs/>
          <w:color w:val="000000" w:themeColor="text1"/>
          <w:sz w:val="24"/>
          <w:szCs w:val="24"/>
          <w14:textFill>
            <w14:solidFill>
              <w14:schemeClr w14:val="tx1"/>
            </w14:solidFill>
          </w14:textFill>
        </w:rPr>
        <w:t>依据国民经济行业分类（GB/T 4754—2017）铸造门类分类</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4.2  “2+26”到“2+36”，谁进谁出？为何调整？</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4.3  国家发展改革委有关负责同志就《产业结构调整指导目录（2024年本）》答记者问</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 w:hAnsi="仿宋" w:eastAsia="仿宋" w:cs="仿宋"/>
          <w:b/>
          <w:bCs/>
          <w:color w:val="FF0000"/>
          <w:sz w:val="28"/>
          <w:szCs w:val="28"/>
        </w:rPr>
      </w:pPr>
      <w:r>
        <w:rPr>
          <w:rFonts w:hint="eastAsia" w:ascii="仿宋" w:hAnsi="仿宋" w:eastAsia="仿宋" w:cs="仿宋"/>
          <w:b/>
          <w:bCs/>
          <w:color w:val="000000" w:themeColor="text1"/>
          <w:sz w:val="24"/>
          <w:szCs w:val="24"/>
          <w:lang w:val="en-US" w:eastAsia="zh-CN"/>
          <w14:textFill>
            <w14:solidFill>
              <w14:schemeClr w14:val="tx1"/>
            </w14:solidFill>
          </w14:textFill>
        </w:rPr>
        <w:t>4.4  高新技术企业认定由科技部变更为工信部！2024年企业申报高企重点注意以下几点！</w:t>
      </w:r>
      <w:r>
        <w:rPr>
          <w:rFonts w:hint="eastAsia" w:ascii="仿宋" w:hAnsi="仿宋" w:eastAsia="仿宋" w:cs="仿宋"/>
          <w:b/>
          <w:bCs/>
          <w:sz w:val="28"/>
          <w:szCs w:val="28"/>
          <w:lang w:val="en-US" w:eastAsia="zh-CN"/>
        </w:rPr>
        <w:t xml:space="preserve">          </w:t>
      </w:r>
    </w:p>
    <w:p>
      <w:pPr>
        <w:keepNext w:val="0"/>
        <w:keepLines w:val="0"/>
        <w:pageBreakBefore w:val="0"/>
        <w:widowControl w:val="0"/>
        <w:kinsoku/>
        <w:wordWrap/>
        <w:overflowPunct/>
        <w:topLinePunct w:val="0"/>
        <w:bidi w:val="0"/>
        <w:snapToGrid/>
        <w:spacing w:line="480" w:lineRule="exact"/>
        <w:textAlignment w:val="auto"/>
        <w:rPr>
          <w:rFonts w:hint="default" w:ascii="仿宋" w:hAnsi="仿宋" w:eastAsia="仿宋" w:cs="仿宋"/>
          <w:b/>
          <w:bCs/>
          <w:color w:val="0070C0"/>
          <w:sz w:val="28"/>
          <w:szCs w:val="28"/>
          <w:lang w:val="en-US" w:eastAsia="zh-CN"/>
        </w:rPr>
      </w:pPr>
      <w:r>
        <w:rPr>
          <w:rFonts w:hint="eastAsia" w:ascii="仿宋" w:hAnsi="仿宋" w:eastAsia="仿宋" w:cs="仿宋"/>
          <w:b/>
          <w:bCs/>
          <w:color w:val="0070C0"/>
          <w:sz w:val="28"/>
          <w:szCs w:val="28"/>
          <w:lang w:val="en-US" w:eastAsia="zh-CN"/>
        </w:rPr>
        <w:t>5.团体标准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color w:val="000000" w:themeColor="text1"/>
          <w:sz w:val="24"/>
          <w:szCs w:val="32"/>
          <w:lang w:val="en-US" w:eastAsia="zh-CN"/>
          <w14:textFill>
            <w14:solidFill>
              <w14:schemeClr w14:val="tx1"/>
            </w14:solidFill>
          </w14:textFill>
        </w:rPr>
      </w:pPr>
      <w:r>
        <w:rPr>
          <w:rFonts w:hint="eastAsia" w:ascii="仿宋" w:hAnsi="仿宋" w:eastAsia="仿宋" w:cs="仿宋"/>
          <w:b/>
          <w:bCs/>
          <w:color w:val="000000" w:themeColor="text1"/>
          <w:sz w:val="24"/>
          <w:szCs w:val="13"/>
          <w:lang w:val="en-US" w:eastAsia="zh-CN"/>
          <w14:textFill>
            <w14:solidFill>
              <w14:schemeClr w14:val="tx1"/>
            </w14:solidFill>
          </w14:textFill>
        </w:rPr>
        <w:t xml:space="preserve">5.1 </w:t>
      </w:r>
      <w:r>
        <w:rPr>
          <w:rFonts w:hint="eastAsia" w:ascii="仿宋" w:hAnsi="仿宋" w:eastAsia="仿宋" w:cs="仿宋"/>
          <w:b/>
          <w:bCs/>
          <w:color w:val="000000" w:themeColor="text1"/>
          <w:sz w:val="24"/>
          <w:szCs w:val="32"/>
          <w:lang w:val="en-US" w:eastAsia="zh-CN"/>
          <w14:textFill>
            <w14:solidFill>
              <w14:schemeClr w14:val="tx1"/>
            </w14:solidFill>
          </w14:textFill>
        </w:rPr>
        <w:t>标准化知识： 标准竞争的最高形式</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000000" w:themeColor="text1"/>
          <w:sz w:val="24"/>
          <w:szCs w:val="32"/>
          <w:lang w:val="en-US" w:eastAsia="zh-CN"/>
          <w14:textFill>
            <w14:solidFill>
              <w14:schemeClr w14:val="tx1"/>
            </w14:solidFill>
          </w14:textFill>
        </w:rPr>
        <w:t>5.2 关键点！如何构建技术标准体系</w:t>
      </w:r>
    </w:p>
    <w:p>
      <w:pPr>
        <w:keepNext w:val="0"/>
        <w:keepLines w:val="0"/>
        <w:pageBreakBefore w:val="0"/>
        <w:widowControl w:val="0"/>
        <w:kinsoku/>
        <w:wordWrap/>
        <w:overflowPunct/>
        <w:topLinePunct w:val="0"/>
        <w:bidi w:val="0"/>
        <w:snapToGrid/>
        <w:spacing w:line="480" w:lineRule="exact"/>
        <w:textAlignment w:val="auto"/>
        <w:rPr>
          <w:rFonts w:hint="eastAsia" w:ascii="仿宋" w:hAnsi="仿宋" w:eastAsia="仿宋" w:cs="仿宋"/>
          <w:b/>
          <w:bCs/>
          <w:color w:val="0070C0"/>
          <w:sz w:val="28"/>
          <w:szCs w:val="28"/>
        </w:rPr>
      </w:pPr>
      <w:r>
        <w:rPr>
          <w:rFonts w:hint="eastAsia" w:ascii="仿宋" w:hAnsi="仿宋" w:eastAsia="仿宋" w:cs="仿宋"/>
          <w:b/>
          <w:bCs/>
          <w:color w:val="0070C0"/>
          <w:sz w:val="28"/>
          <w:szCs w:val="28"/>
          <w:lang w:val="en-US" w:eastAsia="zh-CN"/>
        </w:rPr>
        <w:t>6.智能铸造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6.1 新一批“灯塔工厂”名单公布！全球153座“灯塔工厂”，中国62家灯塔工厂大全</w:t>
      </w:r>
    </w:p>
    <w:p>
      <w:pPr>
        <w:keepNext w:val="0"/>
        <w:keepLines w:val="0"/>
        <w:pageBreakBefore w:val="0"/>
        <w:widowControl w:val="0"/>
        <w:kinsoku/>
        <w:wordWrap/>
        <w:overflowPunct/>
        <w:topLinePunct w:val="0"/>
        <w:bidi w:val="0"/>
        <w:snapToGrid/>
        <w:spacing w:line="480" w:lineRule="exact"/>
        <w:textAlignment w:val="auto"/>
        <w:rPr>
          <w:rFonts w:hint="eastAsia" w:ascii="仿宋" w:hAnsi="仿宋" w:eastAsia="仿宋" w:cs="仿宋"/>
          <w:b/>
          <w:bCs/>
          <w:color w:val="0070C0"/>
          <w:sz w:val="28"/>
          <w:szCs w:val="28"/>
        </w:rPr>
      </w:pPr>
      <w:r>
        <w:rPr>
          <w:rFonts w:hint="eastAsia" w:ascii="仿宋" w:hAnsi="仿宋" w:eastAsia="仿宋" w:cs="仿宋"/>
          <w:b/>
          <w:bCs/>
          <w:color w:val="0070C0"/>
          <w:sz w:val="28"/>
          <w:szCs w:val="28"/>
          <w:lang w:val="en-US" w:eastAsia="zh-CN"/>
        </w:rPr>
        <w:t>7.</w:t>
      </w:r>
      <w:r>
        <w:rPr>
          <w:rFonts w:hint="eastAsia" w:ascii="仿宋" w:hAnsi="仿宋" w:eastAsia="仿宋" w:cs="仿宋"/>
          <w:b/>
          <w:bCs/>
          <w:color w:val="0070C0"/>
          <w:sz w:val="28"/>
          <w:szCs w:val="28"/>
        </w:rPr>
        <w:t>技术交流</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sz w:val="24"/>
          <w:szCs w:val="24"/>
        </w:rPr>
      </w:pPr>
      <w:r>
        <w:rPr>
          <w:rFonts w:hint="eastAsia" w:ascii="仿宋" w:hAnsi="仿宋" w:eastAsia="仿宋" w:cs="仿宋"/>
          <w:b/>
          <w:sz w:val="24"/>
          <w:szCs w:val="24"/>
          <w:lang w:val="en-US" w:eastAsia="zh-CN"/>
        </w:rPr>
        <w:t xml:space="preserve">7.1 </w:t>
      </w:r>
      <w:r>
        <w:rPr>
          <w:rFonts w:hint="eastAsia" w:ascii="仿宋" w:hAnsi="仿宋" w:eastAsia="仿宋" w:cs="仿宋"/>
          <w:b/>
          <w:sz w:val="24"/>
          <w:szCs w:val="24"/>
        </w:rPr>
        <w:t xml:space="preserve"> 一种发动机飞轮壳塌陷缺陷分析及改进</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bCs/>
          <w:sz w:val="28"/>
          <w:szCs w:val="28"/>
          <w:lang w:val="en-US" w:eastAsia="zh-CN"/>
        </w:rPr>
      </w:pPr>
      <w:r>
        <w:rPr>
          <w:rFonts w:hint="eastAsia" w:ascii="仿宋" w:hAnsi="仿宋" w:eastAsia="仿宋" w:cs="仿宋"/>
          <w:b/>
          <w:sz w:val="24"/>
          <w:szCs w:val="24"/>
          <w:lang w:val="en-US" w:eastAsia="zh-CN"/>
        </w:rPr>
        <w:t xml:space="preserve">7.2 </w:t>
      </w:r>
      <w:r>
        <w:rPr>
          <w:rFonts w:hint="eastAsia" w:ascii="仿宋" w:hAnsi="仿宋" w:eastAsia="仿宋" w:cs="仿宋"/>
          <w:b/>
          <w:bCs/>
          <w:sz w:val="24"/>
          <w:szCs w:val="24"/>
          <w:lang w:val="en-US" w:eastAsia="zh-CN"/>
        </w:rPr>
        <w:t xml:space="preserve">山西铸协技术服务项目   </w:t>
      </w:r>
    </w:p>
    <w:p>
      <w:pPr>
        <w:keepNext w:val="0"/>
        <w:keepLines w:val="0"/>
        <w:pageBreakBefore w:val="0"/>
        <w:widowControl w:val="0"/>
        <w:kinsoku/>
        <w:wordWrap/>
        <w:overflowPunct/>
        <w:topLinePunct w:val="0"/>
        <w:bidi w:val="0"/>
        <w:snapToGrid/>
        <w:spacing w:line="480" w:lineRule="exact"/>
        <w:textAlignment w:val="auto"/>
        <w:rPr>
          <w:rFonts w:hint="eastAsia" w:ascii="仿宋" w:hAnsi="仿宋" w:eastAsia="仿宋" w:cs="仿宋"/>
          <w:b/>
          <w:bCs/>
          <w:color w:val="0070C0"/>
          <w:sz w:val="28"/>
          <w:szCs w:val="28"/>
        </w:rPr>
      </w:pPr>
      <w:r>
        <w:rPr>
          <w:rFonts w:hint="eastAsia" w:ascii="仿宋" w:hAnsi="仿宋" w:eastAsia="仿宋" w:cs="仿宋"/>
          <w:b/>
          <w:bCs/>
          <w:color w:val="0070C0"/>
          <w:sz w:val="28"/>
          <w:szCs w:val="28"/>
          <w:lang w:val="en-US" w:eastAsia="zh-CN"/>
        </w:rPr>
        <w:t xml:space="preserve">8. </w:t>
      </w:r>
      <w:r>
        <w:rPr>
          <w:rFonts w:hint="eastAsia" w:ascii="仿宋" w:hAnsi="仿宋" w:eastAsia="仿宋" w:cs="仿宋"/>
          <w:b/>
          <w:bCs/>
          <w:color w:val="0070C0"/>
          <w:sz w:val="28"/>
          <w:szCs w:val="28"/>
        </w:rPr>
        <w:t>商务信息</w:t>
      </w:r>
    </w:p>
    <w:p>
      <w:pPr>
        <w:keepNext w:val="0"/>
        <w:keepLines w:val="0"/>
        <w:pageBreakBefore w:val="0"/>
        <w:widowControl w:val="0"/>
        <w:kinsoku/>
        <w:wordWrap/>
        <w:overflowPunct/>
        <w:topLinePunct w:val="0"/>
        <w:bidi w:val="0"/>
        <w:snapToGrid/>
        <w:spacing w:line="480" w:lineRule="exact"/>
        <w:textAlignment w:val="auto"/>
        <w:rPr>
          <w:rFonts w:hint="eastAsia" w:ascii="仿宋" w:hAnsi="仿宋" w:eastAsia="仿宋" w:cs="仿宋"/>
          <w:b/>
          <w:bCs/>
          <w:color w:val="000000" w:themeColor="text1"/>
          <w:kern w:val="0"/>
          <w:sz w:val="24"/>
          <w:szCs w:val="24"/>
          <w:lang w:val="en-US" w:eastAsia="zh-CN" w:bidi="ar"/>
          <w14:textFill>
            <w14:solidFill>
              <w14:schemeClr w14:val="tx1"/>
            </w14:solidFill>
          </w14:textFill>
        </w:rPr>
      </w:pPr>
      <w:r>
        <w:rPr>
          <w:rFonts w:hint="eastAsia" w:ascii="仿宋" w:hAnsi="仿宋" w:eastAsia="仿宋" w:cs="仿宋"/>
          <w:b/>
          <w:bCs/>
          <w:color w:val="000000" w:themeColor="text1"/>
          <w:kern w:val="0"/>
          <w:sz w:val="24"/>
          <w:szCs w:val="24"/>
          <w:lang w:val="en-US" w:eastAsia="zh-CN" w:bidi="ar"/>
          <w14:textFill>
            <w14:solidFill>
              <w14:schemeClr w14:val="tx1"/>
            </w14:solidFill>
          </w14:textFill>
        </w:rPr>
        <w:t>8.1 山西省铸造行业协会商务平台</w:t>
      </w:r>
    </w:p>
    <w:p>
      <w:pPr>
        <w:pStyle w:val="31"/>
        <w:keepNext w:val="0"/>
        <w:keepLines w:val="0"/>
        <w:pageBreakBefore w:val="0"/>
        <w:widowControl w:val="0"/>
        <w:kinsoku/>
        <w:wordWrap/>
        <w:overflowPunct/>
        <w:topLinePunct w:val="0"/>
        <w:bidi w:val="0"/>
        <w:snapToGrid/>
        <w:spacing w:line="480" w:lineRule="exact"/>
        <w:textAlignment w:val="auto"/>
        <w:rPr>
          <w:rFonts w:hint="eastAsia" w:ascii="仿宋" w:hAnsi="仿宋" w:eastAsia="仿宋" w:cs="仿宋"/>
          <w:b/>
          <w:bCs/>
          <w:lang w:val="en-US" w:eastAsia="zh-CN"/>
        </w:rPr>
      </w:pPr>
      <w:r>
        <w:rPr>
          <w:rFonts w:hint="eastAsia" w:ascii="仿宋" w:hAnsi="仿宋" w:eastAsia="仿宋" w:cs="仿宋"/>
          <w:b/>
          <w:bCs/>
          <w:lang w:val="en-US" w:eastAsia="zh-CN"/>
        </w:rPr>
        <w:t>8.2 山西省铸造行业协会抖音上线了</w:t>
      </w:r>
    </w:p>
    <w:p>
      <w:pPr>
        <w:keepNext w:val="0"/>
        <w:keepLines w:val="0"/>
        <w:pageBreakBefore w:val="0"/>
        <w:widowControl w:val="0"/>
        <w:kinsoku/>
        <w:wordWrap/>
        <w:overflowPunct/>
        <w:topLinePunct w:val="0"/>
        <w:bidi w:val="0"/>
        <w:snapToGrid/>
        <w:spacing w:line="480" w:lineRule="exact"/>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8.3 山西鑫光华铸造废砂再生工业有限公司</w:t>
      </w:r>
    </w:p>
    <w:p>
      <w:pPr>
        <w:keepNext w:val="0"/>
        <w:keepLines w:val="0"/>
        <w:pageBreakBefore w:val="0"/>
        <w:widowControl w:val="0"/>
        <w:kinsoku/>
        <w:wordWrap/>
        <w:overflowPunct/>
        <w:topLinePunct w:val="0"/>
        <w:bidi w:val="0"/>
        <w:snapToGrid/>
        <w:spacing w:line="480" w:lineRule="exact"/>
        <w:textAlignment w:val="auto"/>
        <w:rPr>
          <w:rFonts w:hint="eastAsia" w:ascii="仿宋" w:hAnsi="仿宋" w:eastAsia="仿宋" w:cs="仿宋"/>
          <w:b/>
          <w:bCs/>
          <w:color w:val="auto"/>
          <w:sz w:val="24"/>
          <w:szCs w:val="24"/>
        </w:rPr>
      </w:pPr>
      <w:r>
        <w:rPr>
          <w:rFonts w:hint="eastAsia" w:ascii="仿宋" w:hAnsi="仿宋" w:eastAsia="仿宋" w:cs="仿宋"/>
          <w:b/>
          <w:bCs/>
          <w:color w:val="000000" w:themeColor="text1"/>
          <w:kern w:val="0"/>
          <w:sz w:val="24"/>
          <w:szCs w:val="24"/>
          <w:lang w:val="en-US" w:eastAsia="zh-CN" w:bidi="ar"/>
          <w14:textFill>
            <w14:solidFill>
              <w14:schemeClr w14:val="tx1"/>
            </w14:solidFill>
          </w14:textFill>
        </w:rPr>
        <w:t xml:space="preserve">8.4 </w:t>
      </w:r>
      <w:r>
        <w:rPr>
          <w:rFonts w:hint="eastAsia" w:ascii="仿宋" w:hAnsi="仿宋" w:eastAsia="仿宋" w:cs="仿宋"/>
          <w:b/>
          <w:bCs/>
          <w:color w:val="auto"/>
          <w:kern w:val="0"/>
          <w:sz w:val="24"/>
          <w:szCs w:val="24"/>
          <w:lang w:bidi="ar"/>
        </w:rPr>
        <w:t>山西省铸造行业</w:t>
      </w:r>
      <w:r>
        <w:rPr>
          <w:rFonts w:hint="eastAsia" w:ascii="仿宋" w:hAnsi="仿宋" w:eastAsia="仿宋" w:cs="仿宋"/>
          <w:b/>
          <w:bCs/>
          <w:color w:val="auto"/>
          <w:sz w:val="24"/>
          <w:szCs w:val="24"/>
        </w:rPr>
        <w:t>协会--展览室对外开放</w:t>
      </w:r>
    </w:p>
    <w:p>
      <w:pPr>
        <w:keepNext w:val="0"/>
        <w:keepLines w:val="0"/>
        <w:pageBreakBefore w:val="0"/>
        <w:widowControl w:val="0"/>
        <w:kinsoku/>
        <w:wordWrap/>
        <w:overflowPunct/>
        <w:topLinePunct w:val="0"/>
        <w:bidi w:val="0"/>
        <w:snapToGrid/>
        <w:spacing w:line="480" w:lineRule="exact"/>
        <w:jc w:val="left"/>
        <w:textAlignment w:val="auto"/>
        <w:rPr>
          <w:rFonts w:hint="eastAsia"/>
          <w:color w:val="auto"/>
          <w:sz w:val="24"/>
          <w:szCs w:val="24"/>
        </w:rPr>
      </w:pPr>
      <w:r>
        <w:rPr>
          <w:rFonts w:hint="eastAsia" w:ascii="仿宋" w:hAnsi="仿宋" w:eastAsia="仿宋" w:cs="仿宋"/>
          <w:b/>
          <w:bCs/>
          <w:color w:val="auto"/>
          <w:kern w:val="0"/>
          <w:sz w:val="24"/>
          <w:szCs w:val="24"/>
          <w:lang w:val="en-US" w:eastAsia="zh-CN" w:bidi="ar"/>
        </w:rPr>
        <w:t>8.5 广西兰科、恒利来、南京诺金、天津汇丰</w:t>
      </w:r>
    </w:p>
    <w:p>
      <w:pPr>
        <w:keepNext w:val="0"/>
        <w:keepLines w:val="0"/>
        <w:pageBreakBefore w:val="0"/>
        <w:widowControl w:val="0"/>
        <w:kinsoku/>
        <w:wordWrap/>
        <w:overflowPunct/>
        <w:topLinePunct w:val="0"/>
        <w:bidi w:val="0"/>
        <w:snapToGrid/>
        <w:spacing w:line="480" w:lineRule="exact"/>
        <w:jc w:val="both"/>
        <w:textAlignment w:val="auto"/>
        <w:rPr>
          <w:rFonts w:hint="eastAsia"/>
        </w:rPr>
      </w:pPr>
      <w:r>
        <w:rPr>
          <w:rFonts w:hint="eastAsia" w:ascii="仿宋" w:hAnsi="仿宋" w:eastAsia="仿宋" w:cs="仿宋"/>
          <w:b/>
          <w:bCs/>
          <w:color w:val="auto"/>
          <w:kern w:val="0"/>
          <w:sz w:val="24"/>
          <w:szCs w:val="24"/>
          <w:lang w:val="en-US" w:eastAsia="zh-CN" w:bidi="ar"/>
        </w:rPr>
        <w:t>8.6</w:t>
      </w:r>
      <w:r>
        <w:rPr>
          <w:rFonts w:hint="eastAsia" w:ascii="仿宋" w:hAnsi="仿宋" w:eastAsia="仿宋" w:cs="仿宋"/>
          <w:b/>
          <w:bCs/>
          <w:color w:val="auto"/>
          <w:kern w:val="0"/>
          <w:sz w:val="24"/>
          <w:szCs w:val="24"/>
          <w:lang w:bidi="ar"/>
        </w:rPr>
        <w:t>《铸造设备与工艺》杂志征订启事</w:t>
      </w:r>
    </w:p>
    <w:p>
      <w:pPr>
        <w:keepNext w:val="0"/>
        <w:keepLines w:val="0"/>
        <w:pageBreakBefore w:val="0"/>
        <w:widowControl w:val="0"/>
        <w:numPr>
          <w:ilvl w:val="0"/>
          <w:numId w:val="2"/>
        </w:numPr>
        <w:kinsoku/>
        <w:wordWrap/>
        <w:overflowPunct/>
        <w:topLinePunct w:val="0"/>
        <w:bidi w:val="0"/>
        <w:snapToGrid/>
        <w:spacing w:line="360" w:lineRule="auto"/>
        <w:textAlignment w:val="auto"/>
        <w:rPr>
          <w:rFonts w:hint="eastAsia" w:ascii="仿宋" w:hAnsi="仿宋" w:eastAsia="仿宋" w:cs="仿宋"/>
          <w:b/>
          <w:bCs/>
          <w:color w:val="0070C0"/>
          <w:sz w:val="28"/>
          <w:szCs w:val="28"/>
        </w:rPr>
      </w:pPr>
      <w:r>
        <w:rPr>
          <w:rFonts w:hint="eastAsia" w:ascii="仿宋" w:hAnsi="仿宋" w:eastAsia="仿宋" w:cs="仿宋"/>
          <w:b/>
          <w:bCs/>
          <w:color w:val="0070C0"/>
          <w:sz w:val="28"/>
          <w:szCs w:val="28"/>
        </w:rPr>
        <w:t>热点新闻</w:t>
      </w:r>
    </w:p>
    <w:p>
      <w:pPr>
        <w:rPr>
          <w:rFonts w:hint="eastAsia" w:ascii="仿宋" w:hAnsi="仿宋" w:eastAsia="仿宋" w:cs="仿宋"/>
          <w:sz w:val="24"/>
          <w:szCs w:val="32"/>
        </w:rPr>
      </w:pPr>
      <w:r>
        <w:rPr>
          <w:rFonts w:hint="eastAsia" w:ascii="仿宋" w:hAnsi="仿宋" w:eastAsia="仿宋" w:cs="仿宋"/>
          <w:b/>
          <w:bCs/>
          <w:kern w:val="0"/>
          <w:sz w:val="28"/>
          <w:szCs w:val="28"/>
          <w:lang w:val="en-US" w:eastAsia="zh-CN" w:bidi="ar"/>
        </w:rPr>
        <w:t xml:space="preserve">1.1 </w:t>
      </w:r>
      <w:r>
        <w:rPr>
          <w:rFonts w:hint="eastAsia" w:ascii="仿宋" w:hAnsi="仿宋" w:eastAsia="仿宋" w:cs="仿宋"/>
          <w:b/>
          <w:bCs/>
          <w:color w:val="C00000"/>
          <w:sz w:val="28"/>
          <w:szCs w:val="36"/>
          <w:lang w:val="en-US" w:eastAsia="zh-CN"/>
        </w:rPr>
        <w:t xml:space="preserve"> </w:t>
      </w:r>
      <w:r>
        <w:rPr>
          <w:rFonts w:hint="eastAsia" w:ascii="仿宋" w:hAnsi="仿宋" w:eastAsia="仿宋" w:cs="仿宋"/>
          <w:b/>
          <w:bCs/>
          <w:sz w:val="28"/>
          <w:szCs w:val="36"/>
        </w:rPr>
        <w:t>习近平论现代化产业体系</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以科技创新为引领，加快传统产业高端化、智能化、绿色化升级改造，培育壮大战略性新兴产业，积极发展数字经济和现代服务业，加快构建具有智能化、绿色化、融合化特征和符合完整性、先进性、安全性要求的现代化产业体系，做强做优现代能源产业集群。</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习近平2023年5月17日在听取陕西省委和省政府工作汇报时的讲话</w:t>
      </w:r>
    </w:p>
    <w:p>
      <w:pPr>
        <w:spacing w:line="360" w:lineRule="auto"/>
        <w:rPr>
          <w:rFonts w:hint="eastAsia" w:ascii="仿宋" w:hAnsi="仿宋" w:eastAsia="仿宋" w:cs="仿宋"/>
          <w:b/>
          <w:bCs/>
          <w:color w:val="auto"/>
          <w:sz w:val="28"/>
          <w:szCs w:val="36"/>
          <w:lang w:val="en-US" w:eastAsia="zh-CN"/>
        </w:rPr>
      </w:pPr>
      <w:r>
        <w:rPr>
          <w:rFonts w:hint="eastAsia" w:ascii="仿宋" w:hAnsi="仿宋" w:eastAsia="仿宋" w:cs="仿宋"/>
          <w:sz w:val="24"/>
          <w:szCs w:val="32"/>
        </w:rPr>
        <w:t>来源：强国学习</w:t>
      </w:r>
    </w:p>
    <w:p>
      <w:pPr>
        <w:spacing w:line="360" w:lineRule="auto"/>
        <w:rPr>
          <w:rFonts w:hint="eastAsia" w:ascii="仿宋" w:hAnsi="仿宋" w:eastAsia="仿宋" w:cs="仿宋"/>
          <w:b/>
          <w:bCs/>
          <w:sz w:val="28"/>
          <w:szCs w:val="36"/>
        </w:rPr>
      </w:pPr>
      <w:r>
        <w:rPr>
          <w:rFonts w:hint="eastAsia" w:ascii="仿宋" w:hAnsi="仿宋" w:eastAsia="仿宋" w:cs="仿宋"/>
          <w:b/>
          <w:bCs/>
          <w:color w:val="auto"/>
          <w:sz w:val="28"/>
          <w:szCs w:val="36"/>
          <w:lang w:val="en-US" w:eastAsia="zh-CN"/>
        </w:rPr>
        <w:t xml:space="preserve">1.2  </w:t>
      </w:r>
      <w:r>
        <w:rPr>
          <w:rFonts w:hint="eastAsia" w:ascii="仿宋" w:hAnsi="仿宋" w:eastAsia="仿宋" w:cs="仿宋"/>
          <w:b/>
          <w:bCs/>
          <w:sz w:val="28"/>
          <w:szCs w:val="36"/>
        </w:rPr>
        <w:t>习近平论加快传统制造业数字化网络化智能化改造</w:t>
      </w:r>
    </w:p>
    <w:p>
      <w:pPr>
        <w:spacing w:line="360" w:lineRule="auto"/>
        <w:ind w:firstLine="480" w:firstLineChars="200"/>
        <w:rPr>
          <w:rFonts w:hint="default" w:ascii="仿宋" w:hAnsi="仿宋" w:eastAsia="仿宋" w:cs="仿宋"/>
          <w:sz w:val="24"/>
          <w:szCs w:val="32"/>
          <w:lang w:val="en-US" w:eastAsia="zh-CN"/>
        </w:rPr>
      </w:pPr>
      <w:r>
        <w:rPr>
          <w:rFonts w:hint="eastAsia" w:ascii="仿宋" w:hAnsi="仿宋" w:eastAsia="仿宋" w:cs="仿宋"/>
          <w:sz w:val="24"/>
          <w:szCs w:val="32"/>
        </w:rPr>
        <w:t>加快传统制造业数字化、网络化、智能化改造，推动产业链向上下游延伸，形成较为完善的产业链和产业集群。</w:t>
      </w:r>
      <w:r>
        <w:rPr>
          <w:rFonts w:hint="eastAsia" w:ascii="仿宋" w:hAnsi="仿宋" w:eastAsia="仿宋" w:cs="仿宋"/>
          <w:sz w:val="24"/>
          <w:szCs w:val="32"/>
          <w:lang w:val="en-US" w:eastAsia="zh-CN"/>
        </w:rPr>
        <w:t xml:space="preserve">  </w:t>
      </w:r>
      <w:r>
        <w:rPr>
          <w:rFonts w:hint="eastAsia" w:ascii="仿宋" w:hAnsi="仿宋" w:eastAsia="仿宋" w:cs="仿宋"/>
          <w:sz w:val="24"/>
          <w:szCs w:val="32"/>
        </w:rPr>
        <w:t>——习近平2023年9月7日在主持召开新时代推动东北全面振兴座谈会时的讲话</w:t>
      </w:r>
    </w:p>
    <w:p>
      <w:pPr>
        <w:spacing w:line="360" w:lineRule="auto"/>
        <w:rPr>
          <w:rFonts w:hint="eastAsia" w:ascii="仿宋" w:hAnsi="仿宋" w:eastAsia="仿宋" w:cs="仿宋"/>
          <w:b/>
          <w:bCs/>
          <w:sz w:val="28"/>
          <w:szCs w:val="36"/>
        </w:rPr>
      </w:pPr>
      <w:r>
        <w:rPr>
          <w:rFonts w:hint="eastAsia" w:ascii="仿宋" w:hAnsi="仿宋" w:eastAsia="仿宋" w:cs="仿宋"/>
          <w:b/>
          <w:bCs/>
          <w:color w:val="auto"/>
          <w:sz w:val="28"/>
          <w:szCs w:val="36"/>
          <w:lang w:val="en-US" w:eastAsia="zh-CN"/>
        </w:rPr>
        <w:t>1.3</w:t>
      </w:r>
      <w:r>
        <w:rPr>
          <w:rFonts w:hint="eastAsia" w:ascii="仿宋" w:hAnsi="仿宋" w:eastAsia="仿宋" w:cs="仿宋"/>
          <w:b/>
          <w:bCs/>
          <w:color w:val="FF0000"/>
          <w:sz w:val="32"/>
          <w:szCs w:val="40"/>
          <w:lang w:val="en-US" w:eastAsia="zh-CN"/>
        </w:rPr>
        <w:t xml:space="preserve"> </w:t>
      </w:r>
      <w:r>
        <w:rPr>
          <w:rFonts w:hint="eastAsia" w:ascii="仿宋" w:hAnsi="仿宋" w:eastAsia="仿宋" w:cs="仿宋"/>
          <w:b/>
          <w:bCs/>
          <w:sz w:val="28"/>
          <w:szCs w:val="36"/>
        </w:rPr>
        <w:t>中央屡次强调“新质生产力”释放了什么信号？十个方面全解析</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中央经济工作会议会议强调，明年要围绕推动高质量发展，突出重点，把握关键，扎实做好经济工作，并提出九个方面的工作要求。在</w:t>
      </w:r>
      <w:r>
        <w:rPr>
          <w:rFonts w:hint="eastAsia" w:ascii="仿宋" w:hAnsi="仿宋" w:eastAsia="仿宋" w:cs="仿宋"/>
          <w:b/>
          <w:bCs/>
          <w:sz w:val="24"/>
          <w:szCs w:val="32"/>
        </w:rPr>
        <w:t>“以科技创新引领现代化产业体系建设”</w:t>
      </w:r>
      <w:r>
        <w:rPr>
          <w:rFonts w:hint="eastAsia" w:ascii="仿宋" w:hAnsi="仿宋" w:eastAsia="仿宋" w:cs="仿宋"/>
          <w:sz w:val="24"/>
          <w:szCs w:val="32"/>
        </w:rPr>
        <w:t>方面，会议提出要以科技创新推动产业创新，特别是以颠覆性技术和前沿技术催生新产业、新模式、新动能，发展新质生产力。</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“新质生产力”是习近平总书记原创性提出的新概念。今年，他在黑龙江考察期间和主持召开新时代推动东北全面振兴座谈会时，强调了“加快形成新质生产力”。</w:t>
      </w:r>
      <w:r>
        <w:rPr>
          <w:rFonts w:hint="eastAsia" w:ascii="仿宋" w:hAnsi="仿宋" w:eastAsia="仿宋" w:cs="仿宋"/>
          <w:sz w:val="24"/>
          <w:szCs w:val="32"/>
          <w:lang w:val="en-US" w:eastAsia="zh-CN"/>
        </w:rPr>
        <w:t xml:space="preserve"> </w:t>
      </w:r>
      <w:r>
        <w:rPr>
          <w:rFonts w:hint="eastAsia" w:ascii="仿宋" w:hAnsi="仿宋" w:eastAsia="仿宋" w:cs="仿宋"/>
          <w:sz w:val="24"/>
          <w:szCs w:val="32"/>
        </w:rPr>
        <w:t>什么是新质生产力？有何特征？如何推进新质生产力加快形成？中央屡次提出又传递了什么信号？本文从十个方面为您解析。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Fonts w:hint="eastAsia" w:ascii="仿宋" w:hAnsi="仿宋" w:eastAsia="仿宋" w:cs="仿宋"/>
          <w:sz w:val="24"/>
          <w:szCs w:val="32"/>
        </w:rPr>
      </w:pPr>
      <w:r>
        <w:rPr>
          <w:rFonts w:ascii="Calibri" w:hAnsi="Calibri" w:eastAsia="宋体" w:cs="Times New Roman"/>
          <w:kern w:val="0"/>
          <w:sz w:val="24"/>
          <w:szCs w:val="24"/>
          <w:lang w:val="en-US" w:eastAsia="zh-CN" w:bidi="ar"/>
        </w:rPr>
        <w:drawing>
          <wp:inline distT="0" distB="0" distL="114300" distR="114300">
            <wp:extent cx="3858895" cy="2006600"/>
            <wp:effectExtent l="0" t="0" r="1905" b="0"/>
            <wp:docPr id="24" name="图片 2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1"/>
                    <pic:cNvPicPr>
                      <a:picLocks noChangeAspect="1"/>
                    </pic:cNvPicPr>
                  </pic:nvPicPr>
                  <pic:blipFill>
                    <a:blip r:embed="rId11"/>
                    <a:stretch>
                      <a:fillRect/>
                    </a:stretch>
                  </pic:blipFill>
                  <pic:spPr>
                    <a:xfrm>
                      <a:off x="0" y="0"/>
                      <a:ext cx="3858895" cy="2006600"/>
                    </a:xfrm>
                    <a:prstGeom prst="rect">
                      <a:avLst/>
                    </a:prstGeom>
                  </pic:spPr>
                </pic:pic>
              </a:graphicData>
            </a:graphic>
          </wp:inline>
        </w:drawing>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一</w:t>
      </w:r>
      <w:r>
        <w:rPr>
          <w:rFonts w:hint="eastAsia" w:ascii="仿宋" w:hAnsi="仿宋" w:eastAsia="仿宋" w:cs="仿宋"/>
          <w:b/>
          <w:bCs/>
          <w:sz w:val="24"/>
          <w:szCs w:val="32"/>
          <w:lang w:eastAsia="zh-CN"/>
        </w:rPr>
        <w:t>、</w:t>
      </w:r>
      <w:r>
        <w:rPr>
          <w:rFonts w:hint="eastAsia" w:ascii="仿宋" w:hAnsi="仿宋" w:eastAsia="仿宋" w:cs="仿宋"/>
          <w:b/>
          <w:bCs/>
          <w:sz w:val="24"/>
          <w:szCs w:val="32"/>
        </w:rPr>
        <w:t>新质生产力是马克思主义生产力理论的重要创新</w:t>
      </w:r>
    </w:p>
    <w:p>
      <w:pPr>
        <w:spacing w:line="360" w:lineRule="auto"/>
        <w:ind w:firstLine="480" w:firstLineChars="200"/>
        <w:rPr>
          <w:rFonts w:hint="eastAsia" w:ascii="仿宋" w:hAnsi="仿宋" w:eastAsia="仿宋" w:cs="仿宋"/>
          <w:sz w:val="24"/>
          <w:szCs w:val="32"/>
          <w:lang w:eastAsia="zh-CN"/>
        </w:rPr>
      </w:pPr>
      <w:r>
        <w:rPr>
          <w:rFonts w:hint="eastAsia" w:ascii="仿宋" w:hAnsi="仿宋" w:eastAsia="仿宋" w:cs="仿宋"/>
          <w:sz w:val="24"/>
          <w:szCs w:val="32"/>
        </w:rPr>
        <w:t>新质生产力是马克思主义生产力理论在当代中国的新发展。生产力发展是人类社会进步的根本动力，也是一切社会变迁和政治变革的终极原因。</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二</w:t>
      </w:r>
      <w:r>
        <w:rPr>
          <w:rFonts w:hint="eastAsia" w:ascii="仿宋" w:hAnsi="仿宋" w:eastAsia="仿宋" w:cs="仿宋"/>
          <w:b/>
          <w:bCs/>
          <w:sz w:val="24"/>
          <w:szCs w:val="32"/>
          <w:lang w:eastAsia="zh-CN"/>
        </w:rPr>
        <w:t>、</w:t>
      </w:r>
      <w:r>
        <w:rPr>
          <w:rFonts w:hint="eastAsia" w:ascii="仿宋" w:hAnsi="仿宋" w:eastAsia="仿宋" w:cs="仿宋"/>
          <w:b/>
          <w:bCs/>
          <w:sz w:val="24"/>
          <w:szCs w:val="32"/>
        </w:rPr>
        <w:t>新质生产力的核心要义是 “以新促质”，创新驱动是关键引擎</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顾名思义，“新质”即新的质态。新质生产力就是新质态的生产力，有别于传统生产力，涉及领域新、技术含量高、知识密度大，是科技创新发挥主导作用的生产力，代表生产力演化中的一种能级跃迁。创新驱动是“新”的关键，高质量发展则是“质”的锚点。新质生产力，核心要义就是“以新促质”，以创新驱动新经济变革、以新经济引领高质量发展。</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三</w:t>
      </w:r>
      <w:r>
        <w:rPr>
          <w:rFonts w:hint="eastAsia" w:ascii="仿宋" w:hAnsi="仿宋" w:eastAsia="仿宋" w:cs="仿宋"/>
          <w:b/>
          <w:bCs/>
          <w:sz w:val="24"/>
          <w:szCs w:val="32"/>
          <w:lang w:eastAsia="zh-CN"/>
        </w:rPr>
        <w:t>、</w:t>
      </w:r>
      <w:r>
        <w:rPr>
          <w:rFonts w:hint="eastAsia" w:ascii="仿宋" w:hAnsi="仿宋" w:eastAsia="仿宋" w:cs="仿宋"/>
          <w:b/>
          <w:bCs/>
          <w:sz w:val="24"/>
          <w:szCs w:val="32"/>
        </w:rPr>
        <w:t>新质生产力的基本特征是数字化、网络化、智能化</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新质生产力是当今时代先进生产力的具体体现形式，是科技创新交叉融合突破所产生的根本性成果。新质生产力中的“新”，指的是新技术、新模式、新产业、新领域、新动能；新质生产力中的“质”，指的是物质、质量、本质、品质；新质生产力中的“生产力”是推动社会进步最活跃的要素，社会主义的根本任务就是解放和发展社会生产力。新质生产力，特点在“新”，关键在“质”，落脚在“生产力”。</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四</w:t>
      </w:r>
      <w:r>
        <w:rPr>
          <w:rFonts w:hint="eastAsia" w:ascii="仿宋" w:hAnsi="仿宋" w:eastAsia="仿宋" w:cs="仿宋"/>
          <w:b/>
          <w:bCs/>
          <w:sz w:val="24"/>
          <w:szCs w:val="32"/>
          <w:lang w:eastAsia="zh-CN"/>
        </w:rPr>
        <w:t>、</w:t>
      </w:r>
      <w:r>
        <w:rPr>
          <w:rFonts w:hint="eastAsia" w:ascii="仿宋" w:hAnsi="仿宋" w:eastAsia="仿宋" w:cs="仿宋"/>
          <w:b/>
          <w:bCs/>
          <w:sz w:val="24"/>
          <w:szCs w:val="32"/>
        </w:rPr>
        <w:t>新质生产力的主要领域是战兴产业和未来产业</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产业是经济之本，是生产力变革发展的具体领域，新质生产力的形成依靠整合科技创新资源，引领发展战略性新兴产业和未来产业等新产业。</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五</w:t>
      </w:r>
      <w:r>
        <w:rPr>
          <w:rFonts w:hint="eastAsia" w:ascii="仿宋" w:hAnsi="仿宋" w:eastAsia="仿宋" w:cs="仿宋"/>
          <w:b/>
          <w:bCs/>
          <w:sz w:val="24"/>
          <w:szCs w:val="32"/>
          <w:lang w:eastAsia="zh-CN"/>
        </w:rPr>
        <w:t>、</w:t>
      </w:r>
      <w:r>
        <w:rPr>
          <w:rFonts w:hint="eastAsia" w:ascii="仿宋" w:hAnsi="仿宋" w:eastAsia="仿宋" w:cs="仿宋"/>
          <w:b/>
          <w:bCs/>
          <w:sz w:val="24"/>
          <w:szCs w:val="32"/>
        </w:rPr>
        <w:t>强化企业科技创新主体地位，夯实新质生产力实践主体</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企业是市场经济活动的主要参与者，是最活跃的创新力量，是加快形成新质生产力的实践主体。强化企业科技创新主体地位，是创造孵化新技术并将技术转化为生产力的重要保障，须健全协同高效的创新体系。</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六</w:t>
      </w:r>
      <w:r>
        <w:rPr>
          <w:rFonts w:hint="eastAsia" w:ascii="仿宋" w:hAnsi="仿宋" w:eastAsia="仿宋" w:cs="仿宋"/>
          <w:b/>
          <w:bCs/>
          <w:sz w:val="24"/>
          <w:szCs w:val="32"/>
          <w:lang w:eastAsia="zh-CN"/>
        </w:rPr>
        <w:t>、</w:t>
      </w:r>
      <w:r>
        <w:rPr>
          <w:rFonts w:hint="eastAsia" w:ascii="仿宋" w:hAnsi="仿宋" w:eastAsia="仿宋" w:cs="仿宋"/>
          <w:b/>
          <w:bCs/>
          <w:sz w:val="24"/>
          <w:szCs w:val="32"/>
        </w:rPr>
        <w:t>科技领军人才和创新型团队是新质生产力生成的第一资源</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人是新质生产力的创造者和使用者，是生产力生成中最活跃、最具决定意义的能动主体。当代科技应用，推动生产形态向信息化数智化转变，只有拥有较高的科技文化素质和智能水平，具备以信息技术为主体的多维知识结构，才能熟练掌握各种新质生产工具，构建信息化数智化条件下的新质生产体系。</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七</w:t>
      </w:r>
      <w:r>
        <w:rPr>
          <w:rFonts w:hint="eastAsia" w:ascii="仿宋" w:hAnsi="仿宋" w:eastAsia="仿宋" w:cs="仿宋"/>
          <w:b/>
          <w:bCs/>
          <w:sz w:val="24"/>
          <w:szCs w:val="32"/>
          <w:lang w:eastAsia="zh-CN"/>
        </w:rPr>
        <w:t>、</w:t>
      </w:r>
      <w:r>
        <w:rPr>
          <w:rFonts w:hint="eastAsia" w:ascii="仿宋" w:hAnsi="仿宋" w:eastAsia="仿宋" w:cs="仿宋"/>
          <w:b/>
          <w:bCs/>
          <w:sz w:val="24"/>
          <w:szCs w:val="32"/>
        </w:rPr>
        <w:t>新型工业化是加快形成新质生产力的主阵地</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从发展经济学视角看，一个经济体实现工业化的过程，实质上是一系列重要的生产要素组合方式，连续发生由低级到高级的突破性变化，进而推动人均收入提高和经济结构转变的经济增长过程。推进新型工业化的进程，就是加快形成新质生产力的过程。</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八</w:t>
      </w:r>
      <w:r>
        <w:rPr>
          <w:rFonts w:hint="eastAsia" w:ascii="仿宋" w:hAnsi="仿宋" w:eastAsia="仿宋" w:cs="仿宋"/>
          <w:b/>
          <w:bCs/>
          <w:sz w:val="24"/>
          <w:szCs w:val="32"/>
          <w:lang w:eastAsia="zh-CN"/>
        </w:rPr>
        <w:t>、</w:t>
      </w:r>
      <w:r>
        <w:rPr>
          <w:rFonts w:hint="eastAsia" w:ascii="仿宋" w:hAnsi="仿宋" w:eastAsia="仿宋" w:cs="仿宋"/>
          <w:b/>
          <w:bCs/>
          <w:sz w:val="24"/>
          <w:szCs w:val="32"/>
        </w:rPr>
        <w:t>新质生产力是绿色生产力，要加快生产力绿色转型</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绿色发展是生态文明建设的必然要求，代表了当今科技和产业变革方向，是最有前途的发展领域。新质生产力是绿色的生产力，意味着我们对生产力的理解要从“人类改造自然的能力”上升为“人与自然和谐共生的能力”，跳出主体客体二分法的对立思维框架，进入天人合一的和谐理念境界。</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九</w:t>
      </w:r>
      <w:r>
        <w:rPr>
          <w:rFonts w:hint="eastAsia" w:ascii="仿宋" w:hAnsi="仿宋" w:eastAsia="仿宋" w:cs="仿宋"/>
          <w:b/>
          <w:bCs/>
          <w:sz w:val="24"/>
          <w:szCs w:val="32"/>
          <w:lang w:eastAsia="zh-CN"/>
        </w:rPr>
        <w:t>、</w:t>
      </w:r>
      <w:r>
        <w:rPr>
          <w:rFonts w:hint="eastAsia" w:ascii="仿宋" w:hAnsi="仿宋" w:eastAsia="仿宋" w:cs="仿宋"/>
          <w:b/>
          <w:bCs/>
          <w:sz w:val="24"/>
          <w:szCs w:val="32"/>
        </w:rPr>
        <w:t>高质量发展是新质生产力的战略航标</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若说“经济新常态”构成了中国经济发展的基本语境，“高质量发展”提出了塑造中国未来前途的大逻辑，那么“新质生产力”则释放了驱动高质量发展的新动力。历史性战略机遇不容错过，形成并发展新质生产力，实现传统生产力向新质生产力的过渡转化，是抢占发展制高点、培育竞争新优势、蓄积发展新动能的“先手棋”。</w:t>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十</w:t>
      </w:r>
      <w:r>
        <w:rPr>
          <w:rFonts w:hint="eastAsia" w:ascii="仿宋" w:hAnsi="仿宋" w:eastAsia="仿宋" w:cs="仿宋"/>
          <w:b/>
          <w:bCs/>
          <w:sz w:val="24"/>
          <w:szCs w:val="32"/>
          <w:lang w:eastAsia="zh-CN"/>
        </w:rPr>
        <w:t>、</w:t>
      </w:r>
      <w:r>
        <w:rPr>
          <w:rFonts w:hint="eastAsia" w:ascii="仿宋" w:hAnsi="仿宋" w:eastAsia="仿宋" w:cs="仿宋"/>
          <w:b/>
          <w:bCs/>
          <w:sz w:val="24"/>
          <w:szCs w:val="32"/>
        </w:rPr>
        <w:t>深化改革护航新质生产力加快形成</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新质生产力倒逼加快生产关系的靶向变革，优化形成与中国式现代化相适配的新质生产关系。加快形成新质生产力，必须进一步深化科技体制改革，继续健全新型举国体制、完善科技创新体系、加强基础研究、加大各级政府和企业的科研投入、优化科研资源配置、努力提高科研经费使用效果，继续发挥还存在的后发优势、尽可能引进国外高新科学技术、创造更好条件吸引优秀科研人才，必须下决心改革完善科研项目申报和结项成果的审核、科研奖励的评审标准和方法，重点考核创新性和对科学技术、经济社会发展的实际贡献，资助、鼓励科研人员研究真问题、做实学问、多出创新性成果。</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此次中央经济工作会议强调</w:t>
      </w:r>
      <w:r>
        <w:rPr>
          <w:rFonts w:hint="eastAsia" w:ascii="仿宋" w:hAnsi="仿宋" w:eastAsia="仿宋" w:cs="仿宋"/>
          <w:b/>
          <w:bCs/>
          <w:color w:val="C00000"/>
          <w:sz w:val="24"/>
          <w:szCs w:val="32"/>
        </w:rPr>
        <w:t>“科技创新”和“新质生产力”，</w:t>
      </w:r>
      <w:r>
        <w:rPr>
          <w:rFonts w:hint="eastAsia" w:ascii="仿宋" w:hAnsi="仿宋" w:eastAsia="仿宋" w:cs="仿宋"/>
          <w:sz w:val="24"/>
          <w:szCs w:val="32"/>
        </w:rPr>
        <w:t>两个关键词释放强大信号：通过科技创新的主导作用，开辟制造业发展新领域、新赛道，塑造发展新动能、新优势。聚焦战略性新兴产业和未来产业的发展壮大，</w:t>
      </w:r>
      <w:r>
        <w:rPr>
          <w:rFonts w:hint="eastAsia" w:ascii="仿宋" w:hAnsi="仿宋" w:eastAsia="仿宋" w:cs="仿宋"/>
          <w:b/>
          <w:bCs/>
          <w:color w:val="C00000"/>
          <w:sz w:val="24"/>
          <w:szCs w:val="32"/>
        </w:rPr>
        <w:t>政策上更大力度支持电子信息、高端装备、新能源、智能汽车、新材料、节能环保等战略性新兴产业的快速发展，</w:t>
      </w:r>
      <w:r>
        <w:rPr>
          <w:rFonts w:hint="eastAsia" w:ascii="仿宋" w:hAnsi="仿宋" w:eastAsia="仿宋" w:cs="仿宋"/>
          <w:sz w:val="24"/>
          <w:szCs w:val="32"/>
        </w:rPr>
        <w:t>适度超前谋划类脑智能、量子信息、基因技术、未来网络、深海空天开发、氢能与储能等未来产业的发展布局，树立正确导向，构建面向未来的现代产业体系，为新质生产力发展领航！</w:t>
      </w:r>
    </w:p>
    <w:p>
      <w:pPr>
        <w:spacing w:line="360" w:lineRule="auto"/>
        <w:rPr>
          <w:rFonts w:hint="eastAsia" w:ascii="仿宋" w:hAnsi="仿宋" w:eastAsia="仿宋" w:cs="仿宋"/>
          <w:sz w:val="24"/>
          <w:szCs w:val="32"/>
        </w:rPr>
      </w:pPr>
      <w:r>
        <w:rPr>
          <w:rFonts w:hint="eastAsia" w:ascii="仿宋" w:hAnsi="仿宋" w:eastAsia="仿宋" w:cs="仿宋"/>
          <w:b/>
          <w:bCs/>
          <w:color w:val="auto"/>
          <w:sz w:val="28"/>
          <w:szCs w:val="28"/>
          <w:lang w:val="en-US" w:eastAsia="zh-CN"/>
        </w:rPr>
        <w:t xml:space="preserve">1.4  </w:t>
      </w:r>
      <w:r>
        <w:rPr>
          <w:rFonts w:hint="eastAsia" w:ascii="仿宋" w:hAnsi="仿宋" w:eastAsia="仿宋" w:cs="仿宋"/>
          <w:b/>
          <w:bCs/>
          <w:sz w:val="28"/>
          <w:szCs w:val="36"/>
        </w:rPr>
        <w:t>工信部原部长苗圩：我们要解决的不是高耗能，而是能耗高的问题</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在“《财经》年会2024：预测与战略”上，第十四届全国政协常委、经济委员会副主任，工业和信息化部原部长苗圩表示，推动我国制造业高质量发展，要继续狠抓传统产业的转型升级。一段时间以来，社会上对传统产业有一些错误认识，比如把石化、有色等高耗能产业当成一种落后产业、夕阳产业。实际上这些产业的能耗排放更多是由产业的特性和规模总量所决定的，我们要解决的不是高耗能，而是能耗高的问题。发展制造业首先要稳住传统产业基本盘，改造提升石化、有色等传统优势产业，让传统产业向好、向新转变。</w:t>
      </w:r>
    </w:p>
    <w:p>
      <w:pPr>
        <w:keepNext w:val="0"/>
        <w:keepLines w:val="0"/>
        <w:widowControl/>
        <w:suppressLineNumbers w:val="0"/>
        <w:pBdr>
          <w:bottom w:val="none" w:color="auto" w:sz="0" w:space="0"/>
        </w:pBdr>
        <w:shd w:val="clear" w:fill="FFFFFF"/>
        <w:spacing w:before="50" w:beforeAutospacing="0" w:after="100" w:afterAutospacing="0" w:line="420" w:lineRule="atLeast"/>
        <w:ind w:left="0" w:right="0" w:firstLine="0"/>
        <w:jc w:val="center"/>
        <w:rPr>
          <w:rFonts w:hint="default" w:ascii="Times New Roman" w:hAnsi="Times New Roman" w:eastAsia="宋体" w:cs="Times New Roman"/>
          <w:i w:val="0"/>
          <w:iCs w:val="0"/>
          <w:caps w:val="0"/>
          <w:color w:val="333333"/>
          <w:spacing w:val="0"/>
          <w:kern w:val="0"/>
          <w:sz w:val="16"/>
          <w:szCs w:val="16"/>
          <w:lang w:val="en-US" w:eastAsia="zh-CN" w:bidi="ar"/>
        </w:rPr>
      </w:pPr>
      <w:r>
        <w:rPr>
          <w:rFonts w:hint="eastAsia" w:ascii="宋体" w:hAnsi="宋体" w:eastAsia="宋体" w:cs="宋体"/>
          <w:i w:val="0"/>
          <w:iCs w:val="0"/>
          <w:caps w:val="0"/>
          <w:color w:val="333333"/>
          <w:spacing w:val="0"/>
          <w:kern w:val="0"/>
          <w:sz w:val="14"/>
          <w:szCs w:val="14"/>
          <w:shd w:val="clear" w:fill="FFFFFF"/>
          <w:lang w:val="en-US" w:eastAsia="zh-CN" w:bidi="ar"/>
        </w:rPr>
        <w:drawing>
          <wp:inline distT="0" distB="0" distL="114300" distR="114300">
            <wp:extent cx="4198620" cy="2797175"/>
            <wp:effectExtent l="0" t="0" r="5080" b="9525"/>
            <wp:docPr id="4" name="图片 4" descr="daae55ab6db00dff3270d7b546f40d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aae55ab6db00dff3270d7b546f40db6.jpg"/>
                    <pic:cNvPicPr>
                      <a:picLocks noChangeAspect="1"/>
                    </pic:cNvPicPr>
                  </pic:nvPicPr>
                  <pic:blipFill>
                    <a:blip r:embed="rId12"/>
                    <a:stretch>
                      <a:fillRect/>
                    </a:stretch>
                  </pic:blipFill>
                  <pic:spPr>
                    <a:xfrm>
                      <a:off x="0" y="0"/>
                      <a:ext cx="4198620" cy="2797175"/>
                    </a:xfrm>
                    <a:prstGeom prst="rect">
                      <a:avLst/>
                    </a:prstGeom>
                    <a:noFill/>
                    <a:ln w="9525">
                      <a:noFill/>
                    </a:ln>
                  </pic:spPr>
                </pic:pic>
              </a:graphicData>
            </a:graphic>
          </wp:inline>
        </w:drawing>
      </w:r>
    </w:p>
    <w:p>
      <w:pPr>
        <w:spacing w:line="360" w:lineRule="auto"/>
        <w:ind w:firstLine="482" w:firstLineChars="200"/>
        <w:rPr>
          <w:rFonts w:hint="eastAsia" w:ascii="仿宋" w:hAnsi="仿宋" w:eastAsia="仿宋" w:cs="仿宋"/>
          <w:b/>
          <w:bCs/>
          <w:sz w:val="24"/>
          <w:szCs w:val="32"/>
        </w:rPr>
      </w:pPr>
      <w:r>
        <w:rPr>
          <w:rFonts w:hint="eastAsia" w:ascii="仿宋" w:hAnsi="仿宋" w:eastAsia="仿宋" w:cs="仿宋"/>
          <w:b/>
          <w:bCs/>
          <w:sz w:val="24"/>
          <w:szCs w:val="32"/>
        </w:rPr>
        <w:t>以下为演讲实录：</w:t>
      </w:r>
    </w:p>
    <w:p>
      <w:pPr>
        <w:spacing w:line="360" w:lineRule="auto"/>
        <w:rPr>
          <w:rFonts w:hint="eastAsia" w:ascii="仿宋" w:hAnsi="仿宋" w:eastAsia="仿宋" w:cs="仿宋"/>
          <w:sz w:val="24"/>
          <w:szCs w:val="32"/>
        </w:rPr>
      </w:pPr>
      <w:r>
        <w:rPr>
          <w:rFonts w:hint="eastAsia" w:ascii="仿宋" w:hAnsi="仿宋" w:eastAsia="仿宋" w:cs="仿宋"/>
          <w:sz w:val="24"/>
          <w:szCs w:val="32"/>
        </w:rPr>
        <w:t>苗圩：党的二十大明确提出，到2035年基本实现新型工业化。在今年9月召开的全国新型工业化推进大会，习近平总书记作出重要批示，李强总理出席大会并讲话。这次大会，是党中央决定召开的一次重要会议，也是首次以新型工业化为主题召开的全国性会议，对新时代新征程加快推进新型工业化作出了全面部署。我结合自己的学习思考，与大家分享三个方面的认识和体会。</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一、深入学习领会习近平总书记关于推进新型工业化的重要论述</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实现工业化是中国共产党矢志不渝的奋斗目标。在党的坚强领导下，我们用几十年时间就走完了发达国家几百年走过的工业化历程，建成了全球规模最大、最完整的产业体系，成功探索了一条符合中国国情的工业化道路，为我国创造经济快速发展和社会长期稳定两大奇迹提供了有力支撑。</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新中国建立后，我们在“一穷二白”的基础上发展了我国现代工业，通过50年代156个重点项目、60年代三线建设、70年代两次大规模技术引进，初步建成了相对独立、比较完整的工业体系，实现了从无到有的转变。改革开放以来，多种所有制共同发展，推动制造业规模快速增长，实现了从小到大的跨越。经过了150年之后，我们终于在2010年重新回到“制造业第一大国”的位置。</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党的十八大以来，我国制造业综合实力迈上了新的台阶。从2012—2022年的数据可以看到我国制造业的发展成就，我国制造业增加值在2012年只有16.98万亿元，占全球制造业比重是22.5%，而到了2022年我们的制造业增加值增长到33.5万亿元，几乎比2012年翻了一番，占全球制造业的比重接近30%，制造业第一大国的地位进一步巩固。</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推进新型工业化，是党中央统筹中华民族伟大复兴战略全局和世界百年未有之大变局作出的重大战略部署。党的十八大以来，习近平总书记围绕推进新型工业化提出了一系列新思想新论断新要求，系统回答了新时代推进新型工业化一系列重要问题，把我们党对工业化的规律性认识提升到了一个新的高度，是新时代推进新型工业化的思想武器和行动指南。深入学习领会习近平总书记关于推进新型工业化的重要论述，要掌握其思想精髓和核心要义，我的学习体会归纳起来就是“五个明确”。</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第一，明确了新型工业化的战略定位。</w:t>
      </w:r>
      <w:r>
        <w:rPr>
          <w:rFonts w:hint="eastAsia" w:ascii="仿宋" w:hAnsi="仿宋" w:eastAsia="仿宋" w:cs="仿宋"/>
          <w:sz w:val="24"/>
          <w:szCs w:val="32"/>
        </w:rPr>
        <w:t>习近平总书记指出，制造业是国家经济命脉所系，是立国之本、强国之基。强调工业化是一个国家经济发展的必由之路，新时代新征程，以中国式现代化全面推进强国建设、民族复兴伟业，实现新型工业化是关键任务。</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第二，明确了推进新型工业化的总体目标。</w:t>
      </w:r>
      <w:r>
        <w:rPr>
          <w:rFonts w:hint="eastAsia" w:ascii="仿宋" w:hAnsi="仿宋" w:eastAsia="仿宋" w:cs="仿宋"/>
          <w:sz w:val="24"/>
          <w:szCs w:val="32"/>
        </w:rPr>
        <w:t>习近平总书记在党的二十大报告中明确提出，到2035年基本实现新型工业化。强调要坚持把发展经济的着力点放在实体经济上，推进新型工业化，加快建设制造强国；要把制造业高质量发展放到更加突出的位置，推动中国制造向中国创造转变、中国速度向中国质量转变、中国产品向中国品牌转变。</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第三，明确了推进新型工业化的重要原则。</w:t>
      </w:r>
      <w:r>
        <w:rPr>
          <w:rFonts w:hint="eastAsia" w:ascii="仿宋" w:hAnsi="仿宋" w:eastAsia="仿宋" w:cs="仿宋"/>
          <w:sz w:val="24"/>
          <w:szCs w:val="32"/>
        </w:rPr>
        <w:t>习近平总书记指出，要完整、准确、全面贯彻新发展理念，统筹发展和安全，把高质量发展的要求贯穿新型工业化全过程。强调要深刻把握新时代新征程推进新型工业化的基本规律，积极主动适应和引领新一轮科技革命和产业变革，把建设制造强国同发展数字经济、产业信息化等有机结合。强调坚持三次产业融合发展，服务业与制造业是不能割裂的。强调坚持推动传统产业转型升级，不能当成“低端产业”简单退出。</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第四，明确了推进新型工业化的重点任务。</w:t>
      </w:r>
      <w:r>
        <w:rPr>
          <w:rFonts w:hint="eastAsia" w:ascii="仿宋" w:hAnsi="仿宋" w:eastAsia="仿宋" w:cs="仿宋"/>
          <w:sz w:val="24"/>
          <w:szCs w:val="32"/>
        </w:rPr>
        <w:t>习近平总书记强调，制造业的核心就是创新，要强化企业在科技创新中的主体地位，打好关键核心技术攻坚战，尽快解决一批“卡脖子”问题。强调针对美西方对我遏制打压不断升级的严峻形势，抓紧补短板、锻长板、强基础，实现重点产业链自主可控、安全可靠。强调要狠抓传统产业改造升级和战略性新兴产业培育壮大，加快实现产业体系升级发展。强调要以智能制造为主攻方向推动产业技术变革和优化升级，推动制造业产业模式和企业形态根本性转变。强调要全面推动工业绿色发展，统筹推进重点行业碳达峰，推进资源高效集约利用，加快形成绿色发展方式。</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第五，明确了推进新型工业化的方法路径。</w:t>
      </w:r>
      <w:r>
        <w:rPr>
          <w:rFonts w:hint="eastAsia" w:ascii="仿宋" w:hAnsi="仿宋" w:eastAsia="仿宋" w:cs="仿宋"/>
          <w:sz w:val="24"/>
          <w:szCs w:val="32"/>
        </w:rPr>
        <w:t>习近平总书记强调要坚持系统观念，加强前瞻性思考、全局性谋划、战略性布局、整体性推进，一张蓝图绘到底，保持战略定力、坚持久久为功，集中精力办好自己的事。强调要完善新发展阶段的产业政策，做好各方面政策和要素保障，健全推动发展先进制造业、振兴实体经济的体制机制，推动创新链产业链资金链人才链深度融合，增强产业政策协同性。强调越是面临封锁打压，越不能搞自我封闭、自我隔绝，要坚定不移深化改革、扩大开放，不断提升治理体系和治理能力现代化水平，在开放竞争中实现不断进步。</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在习近平总书记为全国新型工业化推进大会所作的重要批示内容中，首次提出了“实现新型工业化”是“新时代新征程以中国式现代化全面推进强国建设、民族复兴伟业的关键任务”，明确了“要完整、准确、全面贯彻新发展理念，统筹发展和安全”以及“把高质量发展的要求贯穿新型工业化全过程”等实现路径和工作原则，我们要深入学习领会习近平总书记的重要指示精神，坚定不移地沿着习近平总书记指明的方向和道路奋勇前进，开拓进取、大胆实践，在推进新型工业化的进程中，做出更大的贡献。</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二、准确把握推进新型工业化面临的三重机遇和挑战</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党的二十大报告指出，“世界百年未有之大变局加速演进，新一轮科技革命和产业变革深入发展，国际力量对比深刻调整，我国发展面临新的战略机遇。”具体到工业领域，我认为最重要的变化，在于供应链格局调整、科技革命与产业变革加速以及新旧生产要素地位更替三大方面。我们既要妥善应对这些变化带来的挑战，更要牢牢抓住这些变化孕育的机遇。</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（一）全球产业链供应链格局和竞争逻辑发生巨变。</w:t>
      </w:r>
      <w:r>
        <w:rPr>
          <w:rFonts w:hint="eastAsia" w:ascii="仿宋" w:hAnsi="仿宋" w:eastAsia="仿宋" w:cs="仿宋"/>
          <w:sz w:val="24"/>
          <w:szCs w:val="32"/>
        </w:rPr>
        <w:t>近年来，美国将我视为头号战略竞争对手，联合其盟友针对我国先进制造业无底线遏制打压，大搞“小院高墙”“脱钩断链”。2020年突发的新冠疫情也造成了全球供应链大范围梗阻，大家开始反思经济全球化下的国际分工调整，重新研究效率和安全的平衡问题。多重因素叠加下，全球产业链供应链呈现出区域化、本地化、短链化趋势。</w:t>
      </w:r>
    </w:p>
    <w:p>
      <w:pPr>
        <w:spacing w:line="360" w:lineRule="auto"/>
        <w:rPr>
          <w:rFonts w:hint="eastAsia" w:ascii="仿宋" w:hAnsi="仿宋" w:eastAsia="仿宋" w:cs="仿宋"/>
          <w:sz w:val="24"/>
          <w:szCs w:val="32"/>
        </w:rPr>
      </w:pPr>
      <w:r>
        <w:rPr>
          <w:rFonts w:hint="eastAsia" w:ascii="仿宋" w:hAnsi="仿宋" w:eastAsia="仿宋" w:cs="仿宋"/>
          <w:sz w:val="24"/>
          <w:szCs w:val="32"/>
        </w:rPr>
        <w:t>尽管有复杂多变的各类干扰因素存在，只要顺应产业运行逻辑深度变化，就能在全球产业链供应链变局中赢得主动、抢得先机。我认为，产业链演变始终会遵循靠近产地、靠近市场来布局，这是经济发展的客观规律和历史大趋势，不会以某些国家和某些人的主观意志为转移。我国拥有的超大规模单一市场加上门类齐全的制造业体系，在全球产业链中的重要地位轻易不会被撼动。</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（二）通用人工智能等新技术引领全球新一轮科技革命和产业变革。</w:t>
      </w:r>
      <w:r>
        <w:rPr>
          <w:rFonts w:hint="eastAsia" w:ascii="仿宋" w:hAnsi="仿宋" w:eastAsia="仿宋" w:cs="仿宋"/>
          <w:sz w:val="24"/>
          <w:szCs w:val="32"/>
        </w:rPr>
        <w:t>历史上，每一次科技革命和产业变革都极大提升了生产效率、极大改变了生产方式，并催生许多新产业新赛道，使产业体系发生系统性重构。</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当前，新一轮科技革命和产业变革突飞猛进，以互联网、大数据、云计算、人工智能为代表的新一轮信息技术将重塑制造业生产方式和产业体系，对制造业发展产生巨大影响。早期的智能制造主要侧重生产过程中物理系统的感知和集成，未来则是更多地形成智能化装备、智能车间和智能工厂，这些技术会加快生产布局分散化和分工的专业化，而专业化分工有可能促进代工企业发展，这使得产品交付周期大幅缩短，数据驱动制造将成为制造业新模式、新趋势。</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我国在智能制造领域早有布局，十年来，通过实施智能制造工程，取得长足进步，逐步形成包括硬件和软件在内的智能制造体系。其中，智能制造装备整体规模接近3万亿元，系统解决方案供应商达6000家。在智能制造领域，我国的规模和水平更是全球领先，建成近2000家引领行业发展的数字化车间和智能工厂。未来，智能制造将赋能各个生产环节，智能制造和智能化产品已经成为制造业发展的重要趋势和时代要求，成为中国制造业进一步实现高质量发展的“破局点”。</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（三）新型生产要素将替代传统生产要素释放巨大潜能。</w:t>
      </w:r>
      <w:r>
        <w:rPr>
          <w:rFonts w:hint="eastAsia" w:ascii="仿宋" w:hAnsi="仿宋" w:eastAsia="仿宋" w:cs="仿宋"/>
          <w:sz w:val="24"/>
          <w:szCs w:val="32"/>
        </w:rPr>
        <w:t>近年来，随着我国的产业升级，一般劳动力、土地等传统生产要素对产业发展推动作用逐渐下降。数据作为新型生产要素在经济发展中的地位愈发明显。党的十九届四中全会首次将数据作为新的生产要素，作为构建新发展格局的重要支撑。十九届五中全会进一步确立了数据要素市场化配置的改革，2022年底发布的《数据二十条》对充分发挥我国海量数据规模和丰富应用场景的优势做出具体部署。今年机构改革又专门成立了国家数据局。过去，我国依靠人口红利等传统生产要素优势推动制造业快速发展。未来，充分释放数据红利，激活数据要素潜能，做强做优做大数字经济，是事关制造业发展全局的战略。</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数据作为一种新型生产要素介入经济体系，深度嵌入经济增长函数，以其自由流动来驱动技术流、资金流、人才流的最优配置，与土地、劳动力、资本、技术等传统生产要素形成叠加、聚合、倍增效应，促进经济增长方式由线性增长转向指数级、裂变式增长。</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数据成为决策支撑的关键，正在深刻改变资源配置方式。对制造业的设计、工艺、制造、营销、服务等活动带来革命性的变化，对制造业产业结构调整产生深远影响。</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三、推动我国制造业高质量发展，筑牢制造业发展根基</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（一）继续狠抓传统产业转型升级，稳住传统产业基本盘。</w:t>
      </w:r>
      <w:r>
        <w:rPr>
          <w:rFonts w:hint="eastAsia" w:ascii="仿宋" w:hAnsi="仿宋" w:eastAsia="仿宋" w:cs="仿宋"/>
          <w:sz w:val="24"/>
          <w:szCs w:val="32"/>
        </w:rPr>
        <w:t>一段时间以来，社会上对于传统产业有一些错误认识。比如，把钢铁、石化、有色、建材等高耗能传统产业等同于落后产业、夕阳产业。实际上，这些产业能耗、排放总量更多是由产业特性及规模总量所决定的，我们要解决的不是高耗能而是要解决能耗高的问题。也有一些人认为，要实现高质量发展只能靠发展战略性新兴产业和高新技术产业，支持企业技术改造投入的资金越来越少。实际上，我国制造业中传统产业占比超过80%，改造提升传统产业具有巨大潜力和市场空间。我们要发展制造业，就必须首先要稳住传统产业基本盘，坚持传统产业和新兴产业并举，改造提升钢铁、石化、有色、建材等传统优势产业，让传统产业向“好”向“绿”向“新”转变。</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（二）注重培育壮大新兴产业，深入推进数字技术与产业融合。</w:t>
      </w:r>
      <w:r>
        <w:rPr>
          <w:rFonts w:hint="eastAsia" w:ascii="仿宋" w:hAnsi="仿宋" w:eastAsia="仿宋" w:cs="仿宋"/>
          <w:sz w:val="24"/>
          <w:szCs w:val="32"/>
        </w:rPr>
        <w:t>要加快新型信息基础设施建设和应用，加强5G、千兆光网建设等网络设施和智能计算中心、新型数据中心等算力设施统筹规划、整体布局和协调联动，深入实施工业互联网创新发展战略。我们要在发挥数据资源要素价值管理创新工作中，明确数据资源持有权、数据加工使用权和数据产品经营权“三权分置”，打破数据价值流动枷锁，真正释放数据要素新价值，在数字经济产业方面抢占发展先机。</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（三）构建深度融合的协同创新机制，形成一流的技术创新能力。</w:t>
      </w:r>
      <w:r>
        <w:rPr>
          <w:rFonts w:hint="eastAsia" w:ascii="仿宋" w:hAnsi="仿宋" w:eastAsia="仿宋" w:cs="仿宋"/>
          <w:sz w:val="24"/>
          <w:szCs w:val="32"/>
        </w:rPr>
        <w:t>要真正落实好以市场为导向、企业为主体、产学研用相结合的技术创新体系。现在全国每年研发经费投入占GDP的比例刚超过2.5%，其中规模以上工业企业研发投入强度还不到1.4%，这个比例太低，抓技术创新必须抓住企业这个关键，要确立企业在技术创新中的主体地位，激励企业加大研发投入。还要加强产业科技创新平台建设布局。在关键材料、重大装备、先进工艺等关键领域建设一批试验验证平台和中试平台，优化制造业创新中心的布局，加速科技成果工程化和产业化，促进产业科技创新“化点成珠、串珠成链”。</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（四）提升开放合作水平，营造一流的营商环境。</w:t>
      </w:r>
      <w:r>
        <w:rPr>
          <w:rFonts w:hint="eastAsia" w:ascii="仿宋" w:hAnsi="仿宋" w:eastAsia="仿宋" w:cs="仿宋"/>
          <w:sz w:val="24"/>
          <w:szCs w:val="32"/>
        </w:rPr>
        <w:t>现在的中国制造业就像“围城”一样，城里的人想出去，城外的人想进来。这既是应对外部环境变化之举，也是调整产业结构之需。改革开放四十多年的实践表明，外商投资于中国制造业总体上是成功的，在细分市场上都占据优势地位，也取得了很好的投资回报。大批有远见的企业正在加大对中国的投资。中国政府也制定了进一步扩大对外开放的政策，制造业对外资准入的限制已经全部取消，在中国的外资企业与中资企业享有同等的政策。我们要坚持市场化改革的方向，坚决破除隐性壁垒，更多地激发起市场活力，努力打造市场化、法治化、国际化的营商环境。</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各位来宾，各位朋友，全国新型工业化推进大会吹响了加快推进新型工业化、加快建设制造强国的号角。让我们更加紧密地团结在以习近平同志为核心的党中央周围，以习近平新时代中国特色社会主义思想为指引，深刻领悟“两个确立”决定性意义，增强“四个意识”、坚定“四个自信”、做到“两个维护”，开拓创新、担当作为，汇聚起推进新型工业化的强大力量，以中国式现代化全面推进强国建设、民族复兴伟业而努力奋斗。</w:t>
      </w:r>
      <w:r>
        <w:rPr>
          <w:rFonts w:hint="eastAsia" w:ascii="仿宋" w:hAnsi="仿宋" w:eastAsia="仿宋" w:cs="仿宋"/>
          <w:sz w:val="24"/>
          <w:szCs w:val="32"/>
          <w:lang w:val="en-US" w:eastAsia="zh-CN"/>
        </w:rPr>
        <w:t xml:space="preserve"> 来源：财经杂志  </w:t>
      </w:r>
    </w:p>
    <w:p>
      <w:pPr>
        <w:spacing w:line="240" w:lineRule="auto"/>
        <w:rPr>
          <w:rFonts w:hint="eastAsia" w:ascii="仿宋" w:hAnsi="仿宋" w:eastAsia="仿宋" w:cs="仿宋"/>
          <w:b/>
          <w:bCs/>
          <w:sz w:val="28"/>
          <w:szCs w:val="36"/>
        </w:rPr>
      </w:pPr>
      <w:r>
        <w:rPr>
          <w:rFonts w:hint="eastAsia" w:ascii="仿宋" w:hAnsi="仿宋" w:eastAsia="仿宋" w:cs="仿宋"/>
          <w:b/>
          <w:bCs/>
          <w:sz w:val="28"/>
          <w:szCs w:val="36"/>
          <w:lang w:val="en-US" w:eastAsia="zh-CN"/>
        </w:rPr>
        <w:t xml:space="preserve">1.5  </w:t>
      </w:r>
      <w:r>
        <w:rPr>
          <w:rFonts w:hint="eastAsia" w:ascii="仿宋" w:hAnsi="仿宋" w:eastAsia="仿宋" w:cs="仿宋"/>
          <w:sz w:val="24"/>
          <w:szCs w:val="32"/>
          <w:lang w:val="en-US" w:eastAsia="zh-CN"/>
        </w:rPr>
        <w:t xml:space="preserve"> </w:t>
      </w:r>
      <w:r>
        <w:rPr>
          <w:rFonts w:hint="eastAsia" w:ascii="仿宋" w:hAnsi="仿宋" w:eastAsia="仿宋" w:cs="仿宋"/>
          <w:b/>
          <w:bCs/>
          <w:sz w:val="28"/>
          <w:szCs w:val="36"/>
        </w:rPr>
        <w:t>大盘点！山西新增6条省级重点产业链和8家省级重点专业镇，这些企业获双链主身份</w:t>
      </w:r>
    </w:p>
    <w:p>
      <w:pPr>
        <w:spacing w:line="360" w:lineRule="auto"/>
        <w:rPr>
          <w:rFonts w:hint="eastAsia" w:ascii="仿宋" w:hAnsi="仿宋" w:eastAsia="仿宋" w:cs="仿宋"/>
          <w:sz w:val="24"/>
          <w:szCs w:val="32"/>
        </w:rPr>
      </w:pPr>
      <w:r>
        <w:rPr>
          <w:rFonts w:hint="eastAsia" w:ascii="仿宋" w:hAnsi="仿宋" w:eastAsia="仿宋" w:cs="仿宋"/>
          <w:sz w:val="24"/>
          <w:szCs w:val="32"/>
          <w:lang w:val="en-US" w:eastAsia="zh-CN"/>
        </w:rPr>
        <w:fldChar w:fldCharType="begin"/>
      </w:r>
      <w:r>
        <w:rPr>
          <w:rFonts w:hint="eastAsia" w:ascii="仿宋" w:hAnsi="仿宋" w:eastAsia="仿宋" w:cs="仿宋"/>
          <w:sz w:val="24"/>
          <w:szCs w:val="32"/>
          <w:lang w:val="en-US" w:eastAsia="zh-CN"/>
        </w:rPr>
        <w:instrText xml:space="preserve"> HYPERLINK "javascript:void(0);" </w:instrText>
      </w:r>
      <w:r>
        <w:rPr>
          <w:rFonts w:hint="eastAsia" w:ascii="仿宋" w:hAnsi="仿宋" w:eastAsia="仿宋" w:cs="仿宋"/>
          <w:sz w:val="24"/>
          <w:szCs w:val="32"/>
          <w:lang w:val="en-US" w:eastAsia="zh-CN"/>
        </w:rPr>
        <w:fldChar w:fldCharType="separate"/>
      </w:r>
      <w:r>
        <w:rPr>
          <w:rFonts w:hint="eastAsia" w:ascii="仿宋" w:hAnsi="仿宋" w:eastAsia="仿宋" w:cs="仿宋"/>
          <w:sz w:val="24"/>
          <w:szCs w:val="32"/>
        </w:rPr>
        <w:t>世界晋商网</w:t>
      </w:r>
      <w:r>
        <w:rPr>
          <w:rFonts w:hint="eastAsia" w:ascii="仿宋" w:hAnsi="仿宋" w:eastAsia="仿宋" w:cs="仿宋"/>
          <w:sz w:val="24"/>
          <w:szCs w:val="32"/>
          <w:lang w:val="en-US" w:eastAsia="zh-CN"/>
        </w:rPr>
        <w:fldChar w:fldCharType="end"/>
      </w:r>
      <w:r>
        <w:rPr>
          <w:rFonts w:hint="eastAsia" w:ascii="仿宋" w:hAnsi="仿宋" w:eastAsia="仿宋" w:cs="仿宋"/>
          <w:sz w:val="24"/>
          <w:szCs w:val="32"/>
          <w:lang w:val="en-US" w:eastAsia="zh-CN"/>
        </w:rPr>
        <w:t> 2023-12-05 23:31 发表于山西</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12月4日，山西省新型工业化推进暨制造业振兴升级大会召开。会上，第二批17家省级重点产业链链主企业获得授牌。截至目前，山西省共有16条省级重点产业链和37家“链主”企业。</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大会上，同时授牌第二批8家省级重点专业镇。山西将打造特色专业镇视为加快产业转型升级、做强县域经济、促进就业富民的重要平台和抓手。</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截至目前，山西省级专业镇数量达到18个。第二批省级重点专业镇集中于制造业、特优农业和特色轻工(工艺美术)3类，其中制造业类新增4家，特优农业类新增2家，特色轻工(工艺美术)类新增2家。</w:t>
      </w:r>
    </w:p>
    <w:p>
      <w:pPr>
        <w:spacing w:line="360" w:lineRule="auto"/>
        <w:ind w:firstLine="482" w:firstLineChars="200"/>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其中制造业类专业镇有：</w:t>
      </w:r>
    </w:p>
    <w:p>
      <w:pPr>
        <w:spacing w:line="360" w:lineRule="auto"/>
        <w:ind w:firstLine="482" w:firstLineChars="200"/>
        <w:rPr>
          <w:rFonts w:hint="default" w:ascii="仿宋" w:hAnsi="仿宋" w:eastAsia="仿宋" w:cs="仿宋"/>
          <w:b/>
          <w:bCs/>
          <w:sz w:val="24"/>
          <w:szCs w:val="32"/>
          <w:lang w:val="en-US" w:eastAsia="zh-CN"/>
        </w:rPr>
      </w:pPr>
      <w:r>
        <w:rPr>
          <w:rFonts w:hint="eastAsia" w:ascii="仿宋" w:hAnsi="仿宋" w:eastAsia="仿宋" w:cs="仿宋"/>
          <w:b/>
          <w:bCs/>
          <w:sz w:val="24"/>
          <w:szCs w:val="32"/>
          <w:lang w:val="en-US" w:eastAsia="zh-CN"/>
        </w:rPr>
        <w:t>1.</w:t>
      </w:r>
      <w:r>
        <w:rPr>
          <w:rFonts w:hint="default" w:ascii="仿宋" w:hAnsi="仿宋" w:eastAsia="仿宋" w:cs="仿宋"/>
          <w:b/>
          <w:bCs/>
          <w:sz w:val="24"/>
          <w:szCs w:val="32"/>
          <w:lang w:val="en-US" w:eastAsia="zh-CN"/>
        </w:rPr>
        <w:t>泽州铸造专业镇</w:t>
      </w:r>
    </w:p>
    <w:p>
      <w:pPr>
        <w:spacing w:line="360" w:lineRule="auto"/>
        <w:ind w:firstLine="480" w:firstLineChars="200"/>
        <w:rPr>
          <w:rFonts w:hint="default" w:ascii="仿宋" w:hAnsi="仿宋" w:eastAsia="仿宋" w:cs="仿宋"/>
          <w:b w:val="0"/>
          <w:bCs w:val="0"/>
          <w:sz w:val="24"/>
          <w:szCs w:val="32"/>
          <w:lang w:val="en-US" w:eastAsia="zh-CN"/>
        </w:rPr>
      </w:pPr>
      <w:r>
        <w:rPr>
          <w:rFonts w:hint="default" w:ascii="仿宋" w:hAnsi="仿宋" w:eastAsia="仿宋" w:cs="仿宋"/>
          <w:b w:val="0"/>
          <w:bCs w:val="0"/>
          <w:sz w:val="24"/>
          <w:szCs w:val="32"/>
          <w:lang w:val="en-US" w:eastAsia="zh-CN"/>
        </w:rPr>
        <w:t>铸造是晋城的传统特色产业，已有2000多年的历史，泽州素有“煤铁之乡”之称，被中国铸造协会认定为“中国铸造产业集群县”，球墨铸铁管和市政铸件国内市场占有率30%以上。现有铸造企业199户，其中，规上企业38户，国家级专精特新“小巨人”企业5户、省级“专精特新中小企业”20户。2022年实现产值70亿元。拥有国家级工程中心1户、省级企业技术中心7户，带动就业人数4.5万余人。</w:t>
      </w:r>
    </w:p>
    <w:p>
      <w:pPr>
        <w:spacing w:line="360" w:lineRule="auto"/>
        <w:ind w:firstLine="482" w:firstLineChars="200"/>
        <w:rPr>
          <w:rFonts w:hint="default" w:ascii="仿宋" w:hAnsi="仿宋" w:eastAsia="仿宋" w:cs="仿宋"/>
          <w:b/>
          <w:bCs/>
          <w:sz w:val="24"/>
          <w:szCs w:val="32"/>
          <w:lang w:val="en-US" w:eastAsia="zh-CN"/>
        </w:rPr>
      </w:pPr>
      <w:r>
        <w:rPr>
          <w:rFonts w:hint="default" w:ascii="仿宋" w:hAnsi="仿宋" w:eastAsia="仿宋" w:cs="仿宋"/>
          <w:b/>
          <w:bCs/>
          <w:sz w:val="24"/>
          <w:szCs w:val="32"/>
          <w:lang w:val="en-US" w:eastAsia="zh-CN"/>
        </w:rPr>
        <w:t>2.阳泉郊区耐火材料专业镇</w:t>
      </w:r>
    </w:p>
    <w:p>
      <w:pPr>
        <w:spacing w:line="360" w:lineRule="auto"/>
        <w:ind w:firstLine="480" w:firstLineChars="200"/>
        <w:rPr>
          <w:rFonts w:hint="default" w:ascii="仿宋" w:hAnsi="仿宋" w:eastAsia="仿宋" w:cs="仿宋"/>
          <w:b w:val="0"/>
          <w:bCs w:val="0"/>
          <w:sz w:val="24"/>
          <w:szCs w:val="32"/>
          <w:lang w:val="en-US" w:eastAsia="zh-CN"/>
        </w:rPr>
      </w:pPr>
      <w:r>
        <w:rPr>
          <w:rFonts w:hint="default" w:ascii="仿宋" w:hAnsi="仿宋" w:eastAsia="仿宋" w:cs="仿宋"/>
          <w:b w:val="0"/>
          <w:bCs w:val="0"/>
          <w:sz w:val="24"/>
          <w:szCs w:val="32"/>
          <w:lang w:val="en-US" w:eastAsia="zh-CN"/>
        </w:rPr>
        <w:t>阳泉市郊区作为全国四大耐火材料基地之一，享有“中国荫营耐火城”美誉。现有耐火材料生产企业243户，其中规模以上企业34户，高新技术企业3户，专精特新企业5户，国家级专精特新“小巨人”企业1户，带动从业人数1.5万余人。耐火材料年产量120万吨，铝硅系耐材制品约占全国16%，2022年产值21.1亿元。</w:t>
      </w:r>
    </w:p>
    <w:p>
      <w:pPr>
        <w:spacing w:line="360" w:lineRule="auto"/>
        <w:ind w:firstLine="482" w:firstLineChars="200"/>
        <w:rPr>
          <w:rFonts w:hint="default" w:ascii="仿宋" w:hAnsi="仿宋" w:eastAsia="仿宋" w:cs="仿宋"/>
          <w:b/>
          <w:bCs/>
          <w:sz w:val="24"/>
          <w:szCs w:val="32"/>
          <w:lang w:val="en-US" w:eastAsia="zh-CN"/>
        </w:rPr>
      </w:pPr>
      <w:r>
        <w:rPr>
          <w:rFonts w:hint="default" w:ascii="仿宋" w:hAnsi="仿宋" w:eastAsia="仿宋" w:cs="仿宋"/>
          <w:b/>
          <w:bCs/>
          <w:sz w:val="24"/>
          <w:szCs w:val="32"/>
          <w:lang w:val="en-US" w:eastAsia="zh-CN"/>
        </w:rPr>
        <w:t>3.盐湖水泵专业镇</w:t>
      </w:r>
    </w:p>
    <w:p>
      <w:pPr>
        <w:spacing w:line="360" w:lineRule="auto"/>
        <w:ind w:firstLine="480" w:firstLineChars="200"/>
        <w:rPr>
          <w:rFonts w:hint="default" w:ascii="仿宋" w:hAnsi="仿宋" w:eastAsia="仿宋" w:cs="仿宋"/>
          <w:b/>
          <w:bCs/>
          <w:sz w:val="24"/>
          <w:szCs w:val="32"/>
          <w:lang w:val="en-US" w:eastAsia="zh-CN"/>
        </w:rPr>
      </w:pPr>
      <w:r>
        <w:rPr>
          <w:rFonts w:hint="default" w:ascii="仿宋" w:hAnsi="仿宋" w:eastAsia="仿宋" w:cs="仿宋"/>
          <w:b w:val="0"/>
          <w:bCs w:val="0"/>
          <w:sz w:val="24"/>
          <w:szCs w:val="32"/>
          <w:lang w:val="en-US" w:eastAsia="zh-CN"/>
        </w:rPr>
        <w:t>盐湖区水泵起步于上世纪50年代。现有水泵生产企业40户，其中规上企业15户；从业人数近3000人，年产量35万台，产品涵盖多级离心泵、污水泵、矿用泵等200多个品类，销售区域覆盖国内所有大中城市，占据全国近三分之一的市场份额。2022年产值48.6亿元。</w:t>
      </w:r>
    </w:p>
    <w:p>
      <w:pPr>
        <w:spacing w:line="360" w:lineRule="auto"/>
        <w:ind w:firstLine="482" w:firstLineChars="200"/>
        <w:rPr>
          <w:rFonts w:hint="default" w:ascii="仿宋" w:hAnsi="仿宋" w:eastAsia="仿宋" w:cs="仿宋"/>
          <w:b/>
          <w:bCs/>
          <w:sz w:val="24"/>
          <w:szCs w:val="32"/>
          <w:lang w:val="en-US" w:eastAsia="zh-CN"/>
        </w:rPr>
      </w:pPr>
      <w:r>
        <w:rPr>
          <w:rFonts w:hint="default" w:ascii="仿宋" w:hAnsi="仿宋" w:eastAsia="仿宋" w:cs="仿宋"/>
          <w:b/>
          <w:bCs/>
          <w:sz w:val="24"/>
          <w:szCs w:val="32"/>
          <w:lang w:val="en-US" w:eastAsia="zh-CN"/>
        </w:rPr>
        <w:t>4.榆次纺机液压专业镇</w:t>
      </w:r>
    </w:p>
    <w:p>
      <w:pPr>
        <w:spacing w:line="360" w:lineRule="auto"/>
        <w:ind w:firstLine="480" w:firstLineChars="200"/>
        <w:rPr>
          <w:rFonts w:hint="eastAsia" w:ascii="仿宋" w:hAnsi="仿宋" w:eastAsia="仿宋" w:cs="仿宋"/>
          <w:b/>
          <w:bCs/>
          <w:sz w:val="28"/>
          <w:szCs w:val="28"/>
          <w:lang w:val="en-US" w:eastAsia="zh-CN"/>
        </w:rPr>
      </w:pPr>
      <w:r>
        <w:rPr>
          <w:rFonts w:hint="default" w:ascii="仿宋" w:hAnsi="仿宋" w:eastAsia="仿宋" w:cs="仿宋"/>
          <w:b w:val="0"/>
          <w:bCs w:val="0"/>
          <w:sz w:val="24"/>
          <w:szCs w:val="32"/>
          <w:lang w:val="en-US" w:eastAsia="zh-CN"/>
        </w:rPr>
        <w:t>榆次纺机液压专业镇现有生产制造及配套企业206户，其中规上企业40户，高新技术企业34户、单项冠军企业1户，国家级专精特新“小巨人”企业3户。主导产品市场占有率高，其中细纱机、精梳机、液压元器件、液压系统国内市场占有率分别为65%、45%、15%、30%。“经纬”已成为国内第一、全球前三的纺机品牌；“榆液”为全国液压行业著名品牌，产品远销50多个国家和地区。2022年产值47.1亿元。</w:t>
      </w:r>
    </w:p>
    <w:p>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 xml:space="preserve">1.6 </w:t>
      </w:r>
      <w:r>
        <w:rPr>
          <w:rFonts w:hint="eastAsia" w:ascii="仿宋" w:hAnsi="仿宋" w:eastAsia="仿宋" w:cs="仿宋"/>
          <w:b/>
          <w:bCs/>
          <w:sz w:val="28"/>
          <w:szCs w:val="28"/>
        </w:rPr>
        <w:t>人民日报：让行业协会走向前台</w:t>
      </w:r>
    </w:p>
    <w:p>
      <w:pPr>
        <w:spacing w:line="360" w:lineRule="auto"/>
        <w:ind w:firstLine="480" w:firstLineChars="200"/>
        <w:rPr>
          <w:rFonts w:hint="eastAsia" w:ascii="仿宋" w:hAnsi="仿宋" w:eastAsia="仿宋" w:cs="仿宋"/>
          <w:b/>
          <w:bCs/>
          <w:sz w:val="28"/>
          <w:szCs w:val="28"/>
        </w:rPr>
      </w:pPr>
      <w:r>
        <w:rPr>
          <w:rFonts w:hint="eastAsia" w:ascii="仿宋" w:hAnsi="仿宋" w:eastAsia="仿宋" w:cs="仿宋"/>
          <w:b w:val="0"/>
          <w:bCs w:val="0"/>
          <w:sz w:val="24"/>
          <w:szCs w:val="24"/>
        </w:rPr>
        <w:t>近日，“党媒第一报”人民日报刊登《让行业协会走上前台》，这是代表中央层面的一次重要发声，其意义不言而喻，因此引发广泛关注——行业协会真正走向前台的时代已经来临。</w:t>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rPr>
        <w:drawing>
          <wp:inline distT="0" distB="0" distL="114300" distR="114300">
            <wp:extent cx="4665980" cy="2921000"/>
            <wp:effectExtent l="0" t="0" r="7620" b="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13"/>
                    <a:stretch>
                      <a:fillRect/>
                    </a:stretch>
                  </pic:blipFill>
                  <pic:spPr>
                    <a:xfrm>
                      <a:off x="0" y="0"/>
                      <a:ext cx="4665980" cy="2921000"/>
                    </a:xfrm>
                    <a:prstGeom prst="rect">
                      <a:avLst/>
                    </a:prstGeom>
                    <a:noFill/>
                    <a:ln w="9525">
                      <a:noFill/>
                    </a:ln>
                  </pic:spPr>
                </pic:pic>
              </a:graphicData>
            </a:graphic>
          </wp:inline>
        </w:drawing>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lang w:val="en-US" w:eastAsia="zh-CN"/>
        </w:rPr>
        <w:t>人民日报的《让行业协会走上前台》一文，让市场主体——企业激动不已。文章中提出建议，政府应当转变职能，适当放权，比如：将评价企业或影响企业发展方向的行政行为，逐步转移给行业协会、商会，把“市场的事交给市场去做”，让行业协会、商会真正独立自主走上前台。</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01</w:t>
      </w:r>
      <w:r>
        <w:rPr>
          <w:rFonts w:hint="eastAsia" w:ascii="仿宋" w:hAnsi="仿宋" w:eastAsia="仿宋" w:cs="仿宋"/>
          <w:b/>
          <w:bCs/>
          <w:sz w:val="24"/>
          <w:szCs w:val="32"/>
          <w:lang w:val="en-US" w:eastAsia="zh-CN"/>
        </w:rPr>
        <w:t xml:space="preserve"> </w:t>
      </w:r>
      <w:r>
        <w:rPr>
          <w:rFonts w:hint="eastAsia" w:ascii="仿宋" w:hAnsi="仿宋" w:eastAsia="仿宋" w:cs="仿宋"/>
          <w:b/>
          <w:bCs/>
          <w:sz w:val="24"/>
          <w:szCs w:val="32"/>
        </w:rPr>
        <w:t>转换角色：做企业的代言人</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实际上，让中国行业协会走上前台这句话早在10多年前就提出过。也就是说，至今行业协会很少能够走向前台的并不是理论问题，而是现实的观念问题——政府转变观念、行业协会转变观念同等重要。</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正如文章中所说：</w:t>
      </w:r>
      <w:r>
        <w:rPr>
          <w:rFonts w:hint="eastAsia" w:ascii="仿宋" w:hAnsi="仿宋" w:eastAsia="仿宋" w:cs="仿宋"/>
          <w:b/>
          <w:bCs/>
          <w:sz w:val="24"/>
          <w:szCs w:val="32"/>
        </w:rPr>
        <w:t>行业协会、商会是同行企业自己的组织，能够深刻而敏锐地察觉到所处行业的生存状态、存在问题、潜在危险和发展前景，对行业内不同企业的管理水平、技术储备和核心竞争力水平等情况非常熟悉。</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要想让行业协会走向前台，也不能再仅仅是代表政府形象出台的协会，而是要鼓励协会组织发挥主导作用，成为协会会员的代言人。</w:t>
      </w:r>
    </w:p>
    <w:p>
      <w:pPr>
        <w:spacing w:line="360" w:lineRule="auto"/>
        <w:jc w:val="left"/>
        <w:rPr>
          <w:rFonts w:hint="eastAsia" w:ascii="仿宋" w:hAnsi="仿宋" w:eastAsia="仿宋" w:cs="仿宋"/>
          <w:sz w:val="24"/>
          <w:szCs w:val="32"/>
        </w:rPr>
      </w:pP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rPr>
        <w:drawing>
          <wp:inline distT="0" distB="0" distL="114300" distR="114300">
            <wp:extent cx="5262245" cy="7456170"/>
            <wp:effectExtent l="0" t="0" r="8255" b="1143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14"/>
                    <a:stretch>
                      <a:fillRect/>
                    </a:stretch>
                  </pic:blipFill>
                  <pic:spPr>
                    <a:xfrm>
                      <a:off x="0" y="0"/>
                      <a:ext cx="5262245" cy="7456170"/>
                    </a:xfrm>
                    <a:prstGeom prst="rect">
                      <a:avLst/>
                    </a:prstGeom>
                    <a:noFill/>
                    <a:ln w="9525">
                      <a:noFill/>
                    </a:ln>
                  </pic:spPr>
                </pic:pic>
              </a:graphicData>
            </a:graphic>
          </wp:inline>
        </w:drawing>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02</w:t>
      </w:r>
      <w:r>
        <w:rPr>
          <w:rFonts w:hint="eastAsia" w:ascii="仿宋" w:hAnsi="仿宋" w:eastAsia="仿宋" w:cs="仿宋"/>
          <w:b/>
          <w:bCs/>
          <w:sz w:val="24"/>
          <w:szCs w:val="32"/>
          <w:lang w:val="en-US" w:eastAsia="zh-CN"/>
        </w:rPr>
        <w:t xml:space="preserve"> </w:t>
      </w:r>
      <w:r>
        <w:rPr>
          <w:rFonts w:hint="eastAsia" w:ascii="仿宋" w:hAnsi="仿宋" w:eastAsia="仿宋" w:cs="仿宋"/>
          <w:b/>
          <w:bCs/>
          <w:sz w:val="24"/>
          <w:szCs w:val="32"/>
        </w:rPr>
        <w:t>充分认识服务经济发展</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从人民日报释放的信号可知：行业协会作为市场主体之一，立足于服务行业、服务企业、服务市场、服务社会，在我国经济转型发展的关键期，其经济属性和功能作用不断凸显。</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1、行业协会在国家经济管理中的角色不可缺失。</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近年来，行业协会已逐步成长为继政府、企业之后国家经济建设和发展的第三推动力。</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各类行业协会在行业调查、行业统计、行业自律、行业技能资质考核、产品展销等方面起到了“传送带”“分流器”和“上挂下联”的作用，从而使宏观和微观之间实现了更好的衔接。</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2、行业协会服务经济发展的优势不可替代。</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行业协会能够获得来自政府和企业两方面的信息与信赖，这也是其他组织所不具备的优势；能够突破部门与地区界限，链接产业上中下游，横向纵向多方协调的优势得天独厚；国际贸易反倾销和反补贴调查中，行业协会商会具有快速反应的组织优势。</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这些优势，使得行业协会在推动产业结构调整转型、加快发展战略性新兴产业、推进大中小企业协调发展、联合行动中大有可为。</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3、行业协会助推经济发展的能量不可小视。</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据美国霍普金斯大学萨拉蒙教授对美国等36个国家分析统计，结果称社会组织的总支出占这些国家总GDP的5.4％，其经济规模将位列世界第七大经济体。由此看来，行业协会这些社会组织块头不大，但能量巨大。</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目前，我国全国性行业协会每年举办大型展览会、博览会和交易会400多个，规模达到1000多万平方米，其中国际排名前三的就有90多个。行业协会每年招商引资，提供咨询服务，组团考察，组织参展，为政府提供决策依据，其带来的间接经济效益更是难以估量。</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总的来说，行业协会逐步以独立姿态走向前台是时代的大势所趋。我们应充分认识行业协会服务经济发展的重要意义，牢牢把握行业协会服务经济发展的改革机遇，主动承担社会责任，积极发挥职能作用，推动行业协会更好地服务经济发展。</w:t>
      </w:r>
      <w:r>
        <w:rPr>
          <w:rFonts w:hint="eastAsia" w:ascii="仿宋" w:hAnsi="仿宋" w:eastAsia="仿宋" w:cs="仿宋"/>
          <w:sz w:val="24"/>
          <w:szCs w:val="32"/>
          <w:lang w:val="en-US" w:eastAsia="zh-CN"/>
        </w:rPr>
        <w:t xml:space="preserve">  </w:t>
      </w:r>
      <w:r>
        <w:rPr>
          <w:rFonts w:hint="eastAsia" w:ascii="仿宋" w:hAnsi="仿宋" w:eastAsia="仿宋" w:cs="仿宋"/>
          <w:sz w:val="24"/>
          <w:szCs w:val="32"/>
        </w:rPr>
        <w:t>来源</w:t>
      </w:r>
      <w:r>
        <w:rPr>
          <w:rFonts w:hint="eastAsia" w:ascii="仿宋" w:hAnsi="仿宋" w:eastAsia="仿宋" w:cs="仿宋"/>
          <w:sz w:val="24"/>
          <w:szCs w:val="32"/>
          <w:lang w:eastAsia="zh-CN"/>
        </w:rPr>
        <w:t>：</w:t>
      </w:r>
      <w:r>
        <w:rPr>
          <w:rFonts w:hint="eastAsia" w:ascii="仿宋" w:hAnsi="仿宋" w:eastAsia="仿宋" w:cs="仿宋"/>
          <w:sz w:val="24"/>
          <w:szCs w:val="32"/>
        </w:rPr>
        <w:t>福建亚太合会</w:t>
      </w:r>
    </w:p>
    <w:p>
      <w:pPr>
        <w:spacing w:line="360" w:lineRule="auto"/>
        <w:rPr>
          <w:rFonts w:hint="eastAsia" w:ascii="仿宋" w:hAnsi="仿宋" w:eastAsia="仿宋" w:cs="仿宋"/>
          <w:b/>
          <w:bCs/>
          <w:sz w:val="28"/>
          <w:szCs w:val="36"/>
          <w:lang w:val="en-US" w:eastAsia="zh-CN"/>
        </w:rPr>
      </w:pPr>
    </w:p>
    <w:p>
      <w:pPr>
        <w:spacing w:line="360" w:lineRule="auto"/>
        <w:rPr>
          <w:rFonts w:hint="eastAsia" w:ascii="仿宋" w:hAnsi="仿宋" w:eastAsia="仿宋" w:cs="仿宋"/>
          <w:b/>
          <w:bCs/>
          <w:sz w:val="28"/>
          <w:szCs w:val="36"/>
          <w:lang w:val="en-US" w:eastAsia="zh-CN"/>
        </w:rPr>
      </w:pPr>
    </w:p>
    <w:p>
      <w:pPr>
        <w:spacing w:line="360" w:lineRule="auto"/>
        <w:rPr>
          <w:rFonts w:hint="eastAsia" w:ascii="仿宋" w:hAnsi="仿宋" w:eastAsia="仿宋" w:cs="仿宋"/>
          <w:b/>
          <w:bCs/>
          <w:sz w:val="28"/>
          <w:szCs w:val="36"/>
        </w:rPr>
      </w:pPr>
      <w:r>
        <w:rPr>
          <w:rFonts w:hint="eastAsia" w:ascii="仿宋" w:hAnsi="仿宋" w:eastAsia="仿宋" w:cs="仿宋"/>
          <w:b/>
          <w:bCs/>
          <w:sz w:val="28"/>
          <w:szCs w:val="36"/>
          <w:lang w:val="en-US" w:eastAsia="zh-CN"/>
        </w:rPr>
        <w:t>1.7  山西</w:t>
      </w:r>
      <w:r>
        <w:rPr>
          <w:rFonts w:hint="eastAsia" w:ascii="仿宋" w:hAnsi="仿宋" w:eastAsia="仿宋" w:cs="仿宋"/>
          <w:b/>
          <w:bCs/>
          <w:sz w:val="28"/>
          <w:szCs w:val="36"/>
        </w:rPr>
        <w:t>省委经济工作会议在太原举行</w:t>
      </w:r>
    </w:p>
    <w:p>
      <w:pPr>
        <w:spacing w:line="360" w:lineRule="auto"/>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drawing>
          <wp:inline distT="0" distB="0" distL="114300" distR="114300">
            <wp:extent cx="5245735" cy="514985"/>
            <wp:effectExtent l="0" t="0" r="12065" b="5715"/>
            <wp:docPr id="87" name="图片 8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IMG_256"/>
                    <pic:cNvPicPr>
                      <a:picLocks noChangeAspect="1"/>
                    </pic:cNvPicPr>
                  </pic:nvPicPr>
                  <pic:blipFill>
                    <a:blip r:embed="rId15"/>
                    <a:stretch>
                      <a:fillRect/>
                    </a:stretch>
                  </pic:blipFill>
                  <pic:spPr>
                    <a:xfrm>
                      <a:off x="0" y="0"/>
                      <a:ext cx="5245735" cy="514985"/>
                    </a:xfrm>
                    <a:prstGeom prst="rect">
                      <a:avLst/>
                    </a:prstGeom>
                    <a:noFill/>
                    <a:ln w="9525">
                      <a:noFill/>
                    </a:ln>
                  </pic:spPr>
                </pic:pic>
              </a:graphicData>
            </a:graphic>
          </wp:inline>
        </w:drawing>
      </w:r>
    </w:p>
    <w:p>
      <w:pPr>
        <w:spacing w:line="360" w:lineRule="auto"/>
        <w:ind w:firstLine="480" w:firstLineChars="200"/>
        <w:rPr>
          <w:rFonts w:hint="eastAsia" w:ascii="仿宋" w:hAnsi="仿宋" w:eastAsia="仿宋" w:cs="仿宋"/>
          <w:b/>
          <w:bCs/>
          <w:sz w:val="24"/>
          <w:szCs w:val="32"/>
          <w:lang w:val="en-US" w:eastAsia="zh-CN"/>
        </w:rPr>
      </w:pPr>
      <w:r>
        <w:rPr>
          <w:rFonts w:hint="eastAsia" w:ascii="仿宋" w:hAnsi="仿宋" w:eastAsia="仿宋" w:cs="仿宋"/>
          <w:sz w:val="24"/>
          <w:szCs w:val="32"/>
          <w:lang w:val="en-US" w:eastAsia="zh-CN"/>
        </w:rPr>
        <w:t>省委经济工作会议在太原举行唐登杰作全面部署 金湘军作具体安排总结2023年全省经济工作 分析当前经济形势 部署2024年经济工作</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12月25日至26日，省委经济工作会议在太原举行。会议坚持以习近平新时代中国特色社会主义思想为指导，深入学习贯彻党的二十大精神和习近平总书记对山西工作的重要讲话重要指示精神，全面贯彻落实中央经济工作会议精神，总结2023年全省经济工作，分析当前经济形势，部署2024年经济工作。省委书记唐登杰出席并讲话，就做好明年经济工作作出全面部署，省委副书记、省长金湘军就贯彻落实省委决策部署作出具体安排。主题教育中央第三巡回指导组组长韩长赋、副组长孙立成，省委副书记张春林，省政协主席吴存荣出席。</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会议充分肯定了2023年经济工作。指出，一年来，省委全面贯彻落实党的二十大精神，深入学习贯彻习近平总书记对山西工作的重要讲话重要指示精神，坚持稳中求进工作总基调，注重工作开拓性、创新性与连续性、稳定性有机统一，统筹稳增长、调结构、促转型、惠民生、防风险、保安全等各项工作，经济发展稳中向好，资源型经济转型发展态势强劲，能源革命综合改革试点纵深推进，黄河流域生态保护和高质量发展扎实推进，内陆地区对外开放新高地加快建设，改革创新持续深化，乡村振兴全面推进，民生福祉稳步提升，高质量发展迈出坚实步伐。</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会议深入分析了2024年经济形势。指出，当前我省推动高质量发展面临很多宝贵机遇和有利条件。我国经济回升向好、长期向好，新发展格局加快构建，宏观政策精准有力，加强战略腹地建设等，将为我省发展提供重大机遇。我省经济整体向好，现代化产业体系加快构建，高质量发展基础不断夯实，有利因素加快积累。虽然当前我省经济发展也面临一些困难和问题，但总的来看，机遇大于挑战，要增强信心和底气，抢抓机遇、迎难而上，以新气象新作为推动高质量发展取得新成效。</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会议指出，明年经济工作的总体要求是，</w:t>
      </w:r>
      <w:r>
        <w:rPr>
          <w:rFonts w:hint="eastAsia" w:ascii="仿宋" w:hAnsi="仿宋" w:eastAsia="仿宋" w:cs="仿宋"/>
          <w:b/>
          <w:bCs/>
          <w:sz w:val="24"/>
          <w:szCs w:val="32"/>
          <w:lang w:val="en-US" w:eastAsia="zh-CN"/>
        </w:rPr>
        <w:t>坚持以习近平新时代中国特色社会主义思想为指导，全面贯彻落实党的二十大和二十届二中全会精神，深入学习贯彻习近平总书记对山西工作的重要讲话重要指示精神，按照中央经济工作会议部署，坚持稳中求进工作总基调，完整、准确、全面贯彻新发展理念，主动服务和融入新发展格局，着力推动高质量发展，全面深化改革开放，着力加强科技创新，不断深化全方位转型，在践行领袖嘱托、担当重大使命上展现新作为，统筹扩大内需和深化供给侧结构性改革，统筹新型城镇化和乡村全面振兴，统筹高质量发展和高水平安全，切实增强经济活力、防范化解风险、改善社会预期，巩固和增强经济回升向好态势，持续推动经济实现质的有效提升和量的合理增长，增进民生福祉，保持社会稳定，奋力谱写中国式现代化山西篇章。</w:t>
      </w:r>
      <w:r>
        <w:rPr>
          <w:rFonts w:hint="eastAsia" w:ascii="仿宋" w:hAnsi="仿宋" w:eastAsia="仿宋" w:cs="仿宋"/>
          <w:b/>
          <w:bCs/>
          <w:sz w:val="24"/>
          <w:szCs w:val="32"/>
          <w:lang w:val="en-US" w:eastAsia="zh-CN"/>
        </w:rPr>
        <w:br w:type="textWrapping"/>
      </w:r>
      <w:r>
        <w:rPr>
          <w:rFonts w:hint="eastAsia" w:ascii="仿宋" w:hAnsi="仿宋" w:eastAsia="仿宋" w:cs="仿宋"/>
          <w:sz w:val="24"/>
          <w:szCs w:val="32"/>
          <w:lang w:val="en-US" w:eastAsia="zh-CN"/>
        </w:rPr>
        <w:t>     会议强调，要深刻把握做好新时代经济工作“五个必须”的规律性认识，坚决落实稳中求进、以进促稳、先立后破的工作要求，统筹考虑需要与可能、当前和长远、各方面有利条件和不利因素，按照实事求是、积极进取的原则，科学合理确定2024年经济社会发展主要指标，有力有效引导全社会发展预期、提振各类经营主体发展信心。</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xml:space="preserve">     </w:t>
      </w:r>
      <w:r>
        <w:rPr>
          <w:rFonts w:hint="eastAsia" w:ascii="仿宋" w:hAnsi="仿宋" w:eastAsia="仿宋" w:cs="仿宋"/>
          <w:b/>
          <w:bCs/>
          <w:sz w:val="24"/>
          <w:szCs w:val="32"/>
          <w:lang w:val="en-US" w:eastAsia="zh-CN"/>
        </w:rPr>
        <w:t>会议提出明年经济工作中的九个方面重点任务。</w:t>
      </w:r>
    </w:p>
    <w:p>
      <w:p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color w:val="E54C5E"/>
          <w:sz w:val="24"/>
          <w:szCs w:val="32"/>
          <w:lang w:val="en-US" w:eastAsia="zh-CN"/>
        </w:rPr>
        <w:t>一是全力推动资源型经济转型发展。</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二是强力推进能源革命综合改革试点。</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三是大力实施黄河流域生态保护和高质量发展战略。</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四是持续深化重点领域改革。</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五是加快打造内陆地区对外开放新高地。</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六是着力推动城乡融合、区域协调发展。</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七是切实保障和改善民生。</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八是更好统筹发展和安全。</w:t>
      </w:r>
      <w:r>
        <w:rPr>
          <w:rFonts w:hint="eastAsia" w:ascii="仿宋" w:hAnsi="仿宋" w:eastAsia="仿宋" w:cs="仿宋"/>
          <w:sz w:val="24"/>
          <w:szCs w:val="32"/>
          <w:lang w:val="en-US" w:eastAsia="zh-CN"/>
        </w:rPr>
        <w:t xml:space="preserve"> </w:t>
      </w:r>
      <w:r>
        <w:rPr>
          <w:rFonts w:hint="eastAsia" w:ascii="仿宋" w:hAnsi="仿宋" w:eastAsia="仿宋" w:cs="仿宋"/>
          <w:b/>
          <w:bCs/>
          <w:color w:val="E54C5E"/>
          <w:sz w:val="24"/>
          <w:szCs w:val="32"/>
          <w:lang w:val="en-US" w:eastAsia="zh-CN"/>
        </w:rPr>
        <w:t>九是全力夯实经济高质量发展基础，增强全方位转型后劲。</w:t>
      </w:r>
      <w:r>
        <w:rPr>
          <w:rFonts w:hint="eastAsia" w:ascii="仿宋" w:hAnsi="仿宋" w:eastAsia="仿宋" w:cs="仿宋"/>
          <w:sz w:val="24"/>
          <w:szCs w:val="32"/>
          <w:lang w:val="en-US" w:eastAsia="zh-CN"/>
        </w:rPr>
        <w:t xml:space="preserve">      </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lang w:val="en-US" w:eastAsia="zh-CN"/>
        </w:rPr>
        <w:t>会议指出，要深刻领会党中央及省委对经济形势的科学判断，充分认识我省面临的战略机遇、转型态势和问题挑战，抓住一切有利时机，利用一切有利条件，切实增强做好明年经济工作的积极性主动性创造性。要锚定明年经济发展目标，明确工作举措，抓好跟踪调度，三次产业共同发力，“三驾马车”协同拉动，用好抓项目“四全工作法”，强化要素保障和服务，加快重点工程项目建设，突出抓好工业和基础设施投资，大力促进城镇消费和乡村消费，加快发展外向型经济，着力稳龙头、拓市场、扩规模，不断巩固和增强经济回升向好态势。要因地制宜创造性开展工作，讲求推动工作落实的方法，确保各项重点任务落地见效。要善于抓主要矛盾、关键环节，以关键突破带动全局发展。全力推动资源型经济转型发展，关键是以科技创新为引领加快构建富有韧性、先进可靠、具有山西特色的现代化产业体系。做好“四链融合”文章，增强创新驱动牵引力和带动性，做好改造提升文章，提高优势产业竞争力和占有率，做好培育壮大文章，提升战新产业发展力和成长性，以推进“五大基地”建设为关键，持续深化能源革命综合改革试点。要善于把比较优势转化为发展胜势，用好区位和要素成本优势，积极融入京津冀协同发展；用好算力基地优势，加快发展数字经济；用好开发区空间潜力优势，加快打造转型主引擎；用好文旅资源优势，积极打造国际知名文化旅游目的地和转型发展支柱产业，打响“旅游满意在山西”品牌。要加快破除制约高质量发展的体制机制障碍和难点堵点问题，着力补短板、强弱项、增动能、添活力。要强化底线意识、极限思维，以大概率思维应对小概率事件，切实抓好安全生产、粮食生产、防范化解风险、民生保障、巩固衔接等工作，坚决遏制重特大安全生产事故，坚决守住不发生系统性风险和规模性返贫底线，坚决维护人民群众切身利益。要进一步完善工作机制，做到任务分解清单化，指挥调度高效化，考核奖惩机制化，形成上下联动、左右协同抓落实合力，切实提高工作效能。要始终保持奋发有为的精神状态，勇于担当作为，善于干事创业，敢于较真碰硬，以过硬本领作风保障工作落实、促进事业发展。</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会议要求，全省各级党委要加强党对经济工作的领导，为全省推动高质量发展和现代化建设提供坚强保障、凝聚广泛合力。各级各部门特别是主要负责同志要保持高度的政治敏锐性，树牢造福人民的政绩观，强化理论武装、提升能力本领、树牢务实作风、凝聚强大合力，不断提高领导经济工作能力和水平，坚决做到不折不扣、雷厉风行、求真务实、敢作善为抓落实，确保党中央决策部署及省委工作安排落实落细、落地见效。</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会议指出，时值年终岁尾，各级各部门要按照会议部署，有力有效抓好改革发展、民生保障和安全稳定等各项工作。要加强经济运行调度，做好重点行业、重点地区、重点企业运行监测，扎实推进重点项目建设，为明年经济工作开好局起好步打下扎实基础。要统筹抓好煤电油气供应和重要民生商品保供稳价，做好困难群众帮扶救助工作，保障农民工工资按时足额发放，确保群众安心温暖过冬。要守牢安全生产底线，深入开展“三大专项行动”，做好低温冰冻灾害防范应对工作，加强社会治安综合治理，确保人民群众平安祥和过节。</w:t>
      </w:r>
      <w:r>
        <w:rPr>
          <w:rFonts w:hint="eastAsia" w:ascii="仿宋" w:hAnsi="仿宋" w:eastAsia="仿宋" w:cs="仿宋"/>
          <w:sz w:val="24"/>
          <w:szCs w:val="32"/>
          <w:lang w:val="en-US" w:eastAsia="zh-CN"/>
        </w:rPr>
        <w:br w:type="textWrapping"/>
      </w:r>
      <w:r>
        <w:rPr>
          <w:rFonts w:hint="eastAsia" w:ascii="仿宋" w:hAnsi="仿宋" w:eastAsia="仿宋" w:cs="仿宋"/>
          <w:sz w:val="24"/>
          <w:szCs w:val="32"/>
          <w:lang w:val="en-US" w:eastAsia="zh-CN"/>
        </w:rPr>
        <w:t>     现职省级领导同志出席会议。省直部门、部分中央驻晋单位、省管国有企业、省属金融机构、省管本科院校、部分省级以上开发区、重点科研院所负责同志，各市市委书记、市长、发改委主任，各县（市、区）委书记，在晋党的二十大基层代表和“两院”院士，部分省第十二次党代表大会基层代表、科技和战略性新兴产业领域专家学者、民营企业家等参加会议。</w:t>
      </w:r>
    </w:p>
    <w:p>
      <w:pPr>
        <w:spacing w:line="360" w:lineRule="auto"/>
        <w:rPr>
          <w:rFonts w:hint="eastAsia" w:ascii="仿宋" w:hAnsi="仿宋" w:eastAsia="仿宋" w:cs="仿宋"/>
          <w:sz w:val="24"/>
          <w:szCs w:val="32"/>
        </w:rPr>
      </w:pPr>
      <w:r>
        <w:rPr>
          <w:rFonts w:hint="eastAsia" w:ascii="仿宋" w:hAnsi="仿宋" w:eastAsia="仿宋" w:cs="仿宋"/>
          <w:sz w:val="24"/>
          <w:szCs w:val="32"/>
          <w:lang w:val="en-US" w:eastAsia="zh-CN"/>
        </w:rPr>
        <w:t>来源：山西综合广播新闻部</w:t>
      </w:r>
    </w:p>
    <w:p>
      <w:pPr>
        <w:spacing w:line="360" w:lineRule="auto"/>
        <w:rPr>
          <w:rFonts w:hint="eastAsia" w:ascii="仿宋" w:hAnsi="仿宋" w:eastAsia="仿宋" w:cs="仿宋"/>
          <w:sz w:val="24"/>
          <w:szCs w:val="32"/>
          <w:lang w:val="en-US" w:eastAsia="zh-CN"/>
        </w:rPr>
      </w:pPr>
    </w:p>
    <w:p>
      <w:pPr>
        <w:numPr>
          <w:ilvl w:val="0"/>
          <w:numId w:val="0"/>
        </w:numPr>
        <w:spacing w:line="360" w:lineRule="auto"/>
        <w:rPr>
          <w:rFonts w:hint="eastAsia" w:ascii="仿宋" w:hAnsi="仿宋" w:eastAsia="仿宋" w:cs="仿宋"/>
          <w:b/>
          <w:bCs/>
          <w:color w:val="auto"/>
          <w:sz w:val="28"/>
          <w:szCs w:val="28"/>
          <w:lang w:val="en-US" w:eastAsia="zh-CN"/>
        </w:rPr>
      </w:pPr>
      <w:r>
        <w:rPr>
          <w:rFonts w:hint="eastAsia" w:ascii="仿宋" w:hAnsi="仿宋" w:eastAsia="仿宋" w:cs="仿宋"/>
          <w:b/>
          <w:bCs/>
          <w:color w:val="0070C0"/>
          <w:sz w:val="30"/>
          <w:szCs w:val="30"/>
          <w:lang w:val="en-US" w:eastAsia="zh-CN"/>
        </w:rPr>
        <w:t>2、行业活动</w:t>
      </w:r>
    </w:p>
    <w:p>
      <w:pPr>
        <w:numPr>
          <w:ilvl w:val="0"/>
          <w:numId w:val="0"/>
        </w:numPr>
        <w:spacing w:line="360" w:lineRule="auto"/>
        <w:jc w:val="center"/>
        <w:rPr>
          <w:rFonts w:hint="eastAsia" w:ascii="仿宋" w:hAnsi="仿宋" w:eastAsia="仿宋" w:cs="仿宋"/>
          <w:b/>
          <w:bCs/>
          <w:color w:val="auto"/>
          <w:sz w:val="28"/>
          <w:szCs w:val="28"/>
          <w:lang w:val="en-US" w:eastAsia="zh-CN"/>
        </w:rPr>
      </w:pPr>
      <w:r>
        <w:rPr>
          <w:rFonts w:hint="eastAsia" w:ascii="仿宋" w:hAnsi="仿宋" w:eastAsia="仿宋" w:cs="仿宋"/>
          <w:b/>
          <w:bCs/>
          <w:color w:val="5B9BD5" w:themeColor="accent1"/>
          <w:sz w:val="28"/>
          <w:szCs w:val="28"/>
          <w14:textFill>
            <w14:solidFill>
              <w14:schemeClr w14:val="accent1"/>
            </w14:solidFill>
          </w14:textFill>
        </w:rPr>
        <w:drawing>
          <wp:inline distT="0" distB="0" distL="114300" distR="114300">
            <wp:extent cx="4137025" cy="1995805"/>
            <wp:effectExtent l="0" t="0" r="3175" b="10795"/>
            <wp:docPr id="19" name="图片 19" descr="协会 21cm宽-14cm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协会 21cm宽-14cm高"/>
                    <pic:cNvPicPr>
                      <a:picLocks noChangeAspect="1"/>
                    </pic:cNvPicPr>
                  </pic:nvPicPr>
                  <pic:blipFill>
                    <a:blip r:embed="rId16"/>
                    <a:stretch>
                      <a:fillRect/>
                    </a:stretch>
                  </pic:blipFill>
                  <pic:spPr>
                    <a:xfrm>
                      <a:off x="0" y="0"/>
                      <a:ext cx="4137025" cy="199580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2.1 协会动态</w:t>
      </w:r>
    </w:p>
    <w:p>
      <w:pPr>
        <w:spacing w:line="360" w:lineRule="auto"/>
        <w:jc w:val="left"/>
        <w:rPr>
          <w:rFonts w:hint="eastAsia" w:ascii="仿宋" w:hAnsi="仿宋" w:eastAsia="仿宋" w:cs="仿宋"/>
          <w:b/>
          <w:bCs/>
          <w:color w:val="2E75B6" w:themeColor="accent1" w:themeShade="BF"/>
          <w:sz w:val="24"/>
          <w:szCs w:val="32"/>
          <w:lang w:val="en-US" w:eastAsia="zh-CN"/>
        </w:rPr>
      </w:pPr>
      <w:r>
        <w:rPr>
          <w:rFonts w:hint="eastAsia" w:ascii="仿宋" w:hAnsi="仿宋" w:eastAsia="仿宋" w:cs="仿宋"/>
          <w:b/>
          <w:bCs/>
          <w:color w:val="0000FF"/>
          <w:sz w:val="24"/>
          <w:szCs w:val="32"/>
          <w:lang w:val="en-US" w:eastAsia="zh-CN"/>
        </w:rPr>
        <w:t xml:space="preserve">2.1.1 </w:t>
      </w:r>
      <w:r>
        <w:rPr>
          <w:rFonts w:hint="eastAsia" w:ascii="仿宋" w:hAnsi="仿宋" w:eastAsia="仿宋" w:cs="仿宋"/>
          <w:b/>
          <w:bCs/>
          <w:color w:val="0000FF"/>
          <w:sz w:val="24"/>
          <w:szCs w:val="24"/>
          <w:lang w:val="en-US" w:eastAsia="zh-CN"/>
        </w:rPr>
        <w:t xml:space="preserve"> </w:t>
      </w:r>
      <w:r>
        <w:rPr>
          <w:rFonts w:hint="eastAsia" w:ascii="仿宋" w:hAnsi="仿宋" w:eastAsia="仿宋" w:cs="仿宋"/>
          <w:b/>
          <w:bCs/>
          <w:color w:val="C00000"/>
          <w:sz w:val="24"/>
          <w:szCs w:val="24"/>
          <w:lang w:val="en-US" w:eastAsia="zh-CN"/>
        </w:rPr>
        <w:t xml:space="preserve"> 12月28日，</w:t>
      </w:r>
      <w:r>
        <w:rPr>
          <w:rFonts w:hint="eastAsia" w:ascii="仿宋" w:hAnsi="仿宋" w:eastAsia="仿宋" w:cs="仿宋"/>
          <w:b w:val="0"/>
          <w:bCs w:val="0"/>
          <w:color w:val="auto"/>
          <w:sz w:val="24"/>
          <w:szCs w:val="24"/>
          <w:lang w:val="en-US" w:eastAsia="zh-CN"/>
        </w:rPr>
        <w:t>太谷区铸造协会第四届会员大会暨高标准建设“太谷玛钢专业镇”誓师大会召开。区委书记、区长郁效军出席并讲话，区委常委、统战部部长程锡威，副区长赵瑞旭、张超，省铸协、区直相关部门主要负责同志以及协会96个会员单位参加。山</w:t>
      </w:r>
      <w:r>
        <w:rPr>
          <w:rFonts w:hint="eastAsia" w:ascii="仿宋" w:hAnsi="仿宋" w:eastAsia="仿宋" w:cs="仿宋"/>
          <w:b w:val="0"/>
          <w:bCs w:val="0"/>
          <w:sz w:val="24"/>
          <w:szCs w:val="24"/>
          <w:lang w:val="en-US" w:eastAsia="zh-CN"/>
        </w:rPr>
        <w:t>西省铸造行业协会王广业总工、郝鹏飞主任、张琪专员一行参加了大会，</w:t>
      </w:r>
      <w:r>
        <w:rPr>
          <w:rFonts w:hint="eastAsia" w:ascii="仿宋" w:hAnsi="仿宋" w:eastAsia="仿宋" w:cs="仿宋"/>
          <w:sz w:val="24"/>
          <w:szCs w:val="24"/>
          <w:lang w:val="en-US" w:eastAsia="zh-CN"/>
        </w:rPr>
        <w:t xml:space="preserve">王总工代表山西省铸造行业协会及王录才会长对大会的召开表示热烈的祝贺，借此机会，向给予铸造行业大力支持与帮助的各界朋友表示衷心地感谢，山西铸协将继续与业界各位同仁携手并肩，同心共筑，通过不断的深化合作，汇聚行业正能量，为山西省铸造行业乃至全国铸造行业的的健康、快速发展并早日实现铸造强国梦做出更大的贡献。朱荣耀当选新一届太谷区铸造协会会长。 </w:t>
      </w:r>
      <w:r>
        <w:rPr>
          <w:rFonts w:hint="eastAsia" w:ascii="仿宋" w:hAnsi="仿宋" w:eastAsia="仿宋" w:cs="仿宋"/>
          <w:b/>
          <w:bCs/>
          <w:sz w:val="24"/>
          <w:szCs w:val="32"/>
          <w:lang w:val="en-US" w:eastAsia="zh-CN"/>
        </w:rPr>
        <w:t xml:space="preserve"> </w:t>
      </w:r>
    </w:p>
    <w:p>
      <w:pPr>
        <w:spacing w:line="360" w:lineRule="auto"/>
        <w:rPr>
          <w:rFonts w:hint="eastAsia" w:ascii="仿宋" w:hAnsi="仿宋" w:eastAsia="仿宋" w:cs="仿宋"/>
          <w:b/>
          <w:bCs/>
          <w:color w:val="0000FF"/>
          <w:sz w:val="24"/>
          <w:szCs w:val="32"/>
          <w:lang w:val="en-US" w:eastAsia="zh-CN"/>
        </w:rPr>
      </w:pPr>
    </w:p>
    <w:p>
      <w:pPr>
        <w:spacing w:line="360" w:lineRule="auto"/>
        <w:rPr>
          <w:rFonts w:hint="eastAsia" w:ascii="仿宋" w:hAnsi="仿宋" w:eastAsia="仿宋" w:cs="仿宋"/>
          <w:sz w:val="24"/>
          <w:szCs w:val="32"/>
          <w:lang w:val="en-US" w:eastAsia="zh-CN"/>
        </w:rPr>
      </w:pPr>
      <w:r>
        <w:rPr>
          <w:rFonts w:hint="eastAsia" w:ascii="仿宋" w:hAnsi="仿宋" w:eastAsia="仿宋" w:cs="仿宋"/>
          <w:b/>
          <w:bCs/>
          <w:color w:val="0000FF"/>
          <w:sz w:val="24"/>
          <w:szCs w:val="32"/>
          <w:lang w:val="en-US" w:eastAsia="zh-CN"/>
        </w:rPr>
        <w:t xml:space="preserve">2.1.2 </w:t>
      </w:r>
      <w:r>
        <w:rPr>
          <w:rFonts w:hint="eastAsia" w:ascii="仿宋" w:hAnsi="仿宋" w:eastAsia="仿宋" w:cs="仿宋"/>
          <w:sz w:val="24"/>
          <w:szCs w:val="32"/>
          <w:lang w:val="en-US" w:eastAsia="zh-CN"/>
        </w:rPr>
        <w:t xml:space="preserve"> </w:t>
      </w:r>
      <w:r>
        <w:rPr>
          <w:rFonts w:hint="eastAsia" w:ascii="仿宋" w:hAnsi="仿宋" w:eastAsia="仿宋" w:cs="仿宋"/>
          <w:b/>
          <w:bCs/>
          <w:sz w:val="24"/>
          <w:szCs w:val="32"/>
        </w:rPr>
        <w:t>《铸造用自硬呋喃树脂》机械行业标准在济南通过审查</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2023年11月24日，全国铸造标准化技术委员会造型材料分技术委员会（SAC/TC54/SC6）在山东省济南市召开了《铸造用自硬呋喃树脂》机械行业标准审查会，会议由第七届全国铸造标准化技术委员会顾问、华中科技大学李远才教授主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eastAsia="宋体" w:cs="Times New Roman"/>
        </w:rPr>
      </w:pPr>
      <w:r>
        <w:rPr>
          <w:rFonts w:ascii="宋体" w:hAnsi="宋体" w:eastAsia="宋体" w:cs="宋体"/>
          <w:kern w:val="0"/>
          <w:sz w:val="24"/>
          <w:szCs w:val="24"/>
          <w:lang w:val="en-US" w:eastAsia="zh-CN" w:bidi="ar"/>
        </w:rPr>
        <w:drawing>
          <wp:inline distT="0" distB="0" distL="114300" distR="114300">
            <wp:extent cx="4470400" cy="2922270"/>
            <wp:effectExtent l="0" t="0" r="0" b="1143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17"/>
                    <a:stretch>
                      <a:fillRect/>
                    </a:stretch>
                  </pic:blipFill>
                  <pic:spPr>
                    <a:xfrm>
                      <a:off x="0" y="0"/>
                      <a:ext cx="4470400" cy="2922270"/>
                    </a:xfrm>
                    <a:prstGeom prst="rect">
                      <a:avLst/>
                    </a:prstGeom>
                    <a:noFill/>
                    <a:ln w="9525">
                      <a:noFill/>
                    </a:ln>
                  </pic:spPr>
                </pic:pic>
              </a:graphicData>
            </a:graphic>
          </wp:inline>
        </w:drawing>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《铸造用自硬呋喃树脂》是工业和信息化部于2022年12月30日下达的第三批机械行业标准修订计划项目（工信厅科函【2022】312号），项目编号2022-1602T-JB，本标准是对GB/T 7526—2008《铸造用自硬呋喃树脂》的修订。</w:t>
      </w:r>
    </w:p>
    <w:p>
      <w:pPr>
        <w:spacing w:line="360" w:lineRule="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华中科技大学、河海大学、山东建筑大学、中车戚墅堰机车车辆工艺研究所有限公司、中车齐齐哈尔车辆有限公司、济南圣泉集团股份有限公司、苏州兴业材料科技股份有限公司、广东省铸力铸材科技有限公司、浙江天奇新材料科技股份有限公司、通辽市大林型砂有限公司、无锡市三峰仪器设备有限公司、山东金雷新能源重装有限公司、承德东伟新材料科技有限公司、襄阳金耐特机械股份有限公司、山东永创材料科技有限公司、中国机械总院集团沈阳铸造研究所有限公司等单位的 30 余位家参加了会议。</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审查会听取了负责起草单位对标准的修订背景、目的、意义、标准修订的总体思路、标准编制原则以及最终确定标准主要内容的依据、标准修订过程的简要介绍。审查会对标准的编制说明、征求意见汇总处理表以及标准与现行法律法规的符合性进行了认真审查，审查会重点对标准送审稿进行逐字逐句的认真审查和最终确认。</w:t>
      </w:r>
    </w:p>
    <w:p>
      <w:pPr>
        <w:spacing w:line="360" w:lineRule="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会议要求负责起草单位按审查会提出的意见进行认真修改，完善编制说明，补充必要的验证数据和验证说明，尽快形成标准报批稿及报批附件，报送全国铸造标委会秘书处复核。报送材料务必要齐全、翔实、准确。经与会专家表决，标准获得一致通过。</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呋喃树脂制作的砂型（芯）具有精度高、强度高、溃散性好、能源消耗少等优点，生产的铸件质量优良，在中、大型铸钢、铸铁以及铸造有色合金铸件生产中应用广泛。呋喃树脂的各项性能的优劣，会直接影响型砂的性能和铸件质量。铸造用自硬呋喃树脂以糠醇为主要原料，配以甲醛、尿素、苯酚等原料，经过十余年的发展，各项指标有了较大的提高。本次修订的标准更改了按氮含量分类的要求、技术要求及检验规则等，本标准的修订将对促进铸造行业技术进步，提高铸件质量，改善作业环境等方面起到积极的作用。</w:t>
      </w:r>
    </w:p>
    <w:p>
      <w:pPr>
        <w:keepNext w:val="0"/>
        <w:keepLines w:val="0"/>
        <w:widowControl/>
        <w:suppressLineNumbers w:val="0"/>
        <w:spacing w:before="0" w:beforeAutospacing="0" w:after="0" w:afterAutospacing="0"/>
        <w:ind w:left="0" w:right="0"/>
        <w:jc w:val="center"/>
        <w:rPr>
          <w:rFonts w:ascii="Calibri" w:hAnsi="Calibri" w:eastAsia="宋体" w:cs="Times New Roman"/>
        </w:rPr>
      </w:pPr>
      <w:r>
        <w:rPr>
          <w:rFonts w:ascii="宋体" w:hAnsi="宋体" w:eastAsia="宋体" w:cs="宋体"/>
          <w:kern w:val="0"/>
          <w:sz w:val="24"/>
          <w:szCs w:val="24"/>
          <w:lang w:val="en-US" w:eastAsia="zh-CN" w:bidi="ar"/>
        </w:rPr>
        <w:drawing>
          <wp:inline distT="0" distB="0" distL="114300" distR="114300">
            <wp:extent cx="4655820" cy="3134360"/>
            <wp:effectExtent l="0" t="0" r="5080" b="2540"/>
            <wp:docPr id="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7"/>
                    <pic:cNvPicPr>
                      <a:picLocks noChangeAspect="1"/>
                    </pic:cNvPicPr>
                  </pic:nvPicPr>
                  <pic:blipFill>
                    <a:blip r:embed="rId18"/>
                    <a:stretch>
                      <a:fillRect/>
                    </a:stretch>
                  </pic:blipFill>
                  <pic:spPr>
                    <a:xfrm>
                      <a:off x="0" y="0"/>
                      <a:ext cx="4655820" cy="313436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ascii="Calibri" w:hAnsi="Calibri" w:eastAsia="宋体" w:cs="Times New Roman"/>
          <w:kern w:val="0"/>
          <w:sz w:val="24"/>
          <w:szCs w:val="24"/>
          <w:lang w:val="en-US" w:eastAsia="zh-CN" w:bidi="ar"/>
        </w:rPr>
      </w:pPr>
    </w:p>
    <w:p>
      <w:pPr>
        <w:keepNext w:val="0"/>
        <w:keepLines w:val="0"/>
        <w:widowControl/>
        <w:suppressLineNumbers w:val="0"/>
        <w:spacing w:before="0" w:beforeAutospacing="0" w:after="0" w:afterAutospacing="0"/>
        <w:ind w:left="0" w:right="0"/>
        <w:jc w:val="left"/>
        <w:rPr>
          <w:rFonts w:hint="eastAsia" w:ascii="仿宋" w:hAnsi="仿宋" w:eastAsia="仿宋" w:cs="仿宋"/>
          <w:sz w:val="24"/>
          <w:szCs w:val="32"/>
          <w:lang w:eastAsia="zh-CN"/>
        </w:rPr>
      </w:pPr>
      <w:r>
        <w:rPr>
          <w:rFonts w:hint="eastAsia" w:ascii="仿宋" w:hAnsi="仿宋" w:eastAsia="仿宋" w:cs="仿宋"/>
          <w:sz w:val="24"/>
          <w:szCs w:val="32"/>
        </w:rPr>
        <w:t>原创 铸造标委会 铸造标委会</w:t>
      </w:r>
      <w:r>
        <w:rPr>
          <w:rFonts w:hint="eastAsia" w:ascii="仿宋" w:hAnsi="仿宋" w:eastAsia="仿宋" w:cs="仿宋"/>
          <w:sz w:val="24"/>
          <w:szCs w:val="32"/>
          <w:lang w:val="en-US" w:eastAsia="zh-CN"/>
        </w:rPr>
        <w:t xml:space="preserve"> </w:t>
      </w:r>
      <w:r>
        <w:rPr>
          <w:rFonts w:hint="eastAsia" w:ascii="仿宋" w:hAnsi="仿宋" w:eastAsia="仿宋" w:cs="仿宋"/>
          <w:b/>
          <w:sz w:val="24"/>
          <w:szCs w:val="32"/>
          <w:lang w:val="en-US" w:eastAsia="zh-CN"/>
        </w:rPr>
        <w:t xml:space="preserve"> </w:t>
      </w:r>
    </w:p>
    <w:p>
      <w:pPr>
        <w:spacing w:line="360" w:lineRule="auto"/>
        <w:rPr>
          <w:rFonts w:hint="default" w:ascii="仿宋" w:hAnsi="仿宋" w:eastAsia="仿宋" w:cs="仿宋"/>
          <w:b/>
          <w:bCs/>
          <w:color w:val="auto"/>
          <w:sz w:val="24"/>
          <w:szCs w:val="32"/>
          <w:lang w:val="en-US"/>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outlineLvl w:val="9"/>
        <w:rPr>
          <w:rFonts w:hint="eastAsia" w:ascii="仿宋" w:hAnsi="仿宋" w:eastAsia="仿宋" w:cs="仿宋"/>
          <w:bCs/>
          <w:sz w:val="24"/>
          <w:szCs w:val="24"/>
          <w:lang w:bidi="ar"/>
        </w:rPr>
      </w:pPr>
      <w:r>
        <w:rPr>
          <w:rFonts w:hint="eastAsia" w:ascii="仿宋" w:hAnsi="仿宋" w:eastAsia="仿宋" w:cs="仿宋"/>
          <w:b/>
          <w:bCs/>
          <w:color w:val="0000FF"/>
          <w:sz w:val="24"/>
          <w:szCs w:val="24"/>
          <w:lang w:val="en-US" w:eastAsia="zh-CN"/>
        </w:rPr>
        <w:t xml:space="preserve">2.1.3 </w:t>
      </w:r>
      <w:r>
        <w:rPr>
          <w:rFonts w:hint="eastAsia" w:ascii="仿宋" w:hAnsi="仿宋" w:eastAsia="仿宋" w:cs="仿宋"/>
          <w:b/>
          <w:bCs/>
          <w:color w:val="70AD47" w:themeColor="accent6"/>
          <w:sz w:val="24"/>
          <w:szCs w:val="24"/>
          <w:lang w:val="en-US" w:eastAsia="zh-CN"/>
          <w14:textFill>
            <w14:solidFill>
              <w14:schemeClr w14:val="accent6"/>
            </w14:solidFill>
          </w14:textFill>
        </w:rPr>
        <w:t xml:space="preserve"> </w:t>
      </w:r>
      <w:r>
        <w:rPr>
          <w:rFonts w:hint="eastAsia" w:ascii="仿宋" w:hAnsi="仿宋" w:eastAsia="仿宋" w:cs="仿宋"/>
          <w:bCs/>
          <w:sz w:val="24"/>
          <w:szCs w:val="24"/>
          <w:lang w:bidi="ar"/>
        </w:rPr>
        <w:t>中国铸造行业绿色低碳发展研讨会在京召开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drawing>
          <wp:inline distT="0" distB="0" distL="114300" distR="114300">
            <wp:extent cx="3860800" cy="1945640"/>
            <wp:effectExtent l="0" t="0" r="0" b="10160"/>
            <wp:docPr id="9" name="图片 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7"/>
                    <pic:cNvPicPr>
                      <a:picLocks noChangeAspect="1"/>
                    </pic:cNvPicPr>
                  </pic:nvPicPr>
                  <pic:blipFill>
                    <a:blip r:embed="rId19"/>
                    <a:stretch>
                      <a:fillRect/>
                    </a:stretch>
                  </pic:blipFill>
                  <pic:spPr>
                    <a:xfrm>
                      <a:off x="0" y="0"/>
                      <a:ext cx="3860800" cy="1945640"/>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仿宋"/>
          <w:sz w:val="24"/>
          <w:szCs w:val="32"/>
        </w:rPr>
      </w:pPr>
      <w:r>
        <w:rPr>
          <w:rFonts w:hint="eastAsia" w:ascii="仿宋" w:hAnsi="仿宋" w:eastAsia="仿宋" w:cs="仿宋"/>
          <w:sz w:val="24"/>
          <w:szCs w:val="32"/>
          <w:lang w:val="en-US" w:eastAsia="zh-CN"/>
        </w:rPr>
        <w:t>2023年12月19日，由中国铸造协会组织，中国铸造协会双碳工作委员会承办的“中国铸造行业绿色低碳发展研讨会”在北京召开。中国机械工业联合会副会长、中国铸造协会会长张立波，工业和信息化部节能与综合利用司调研员李云玉，生态环境部环境规划院副院长严刚，中国铸造协会常务副会长张志勇、执行副会长兼秘书长王东生，中国工程机械工业协会副会长、双碳委会长李建友，中国铸造协会总经济师马宏儒、副秘书长吴仁贵、秘书长助理/双碳委秘书长乔世杰，机械工业环保产业发展中心主任贾中华，玫德集团有限公司助理主席吕兴广，一拖（洛阳）铸锻有限公司总经理王华伟，中机第一设计研究院有限公司院长郜业见，一汽铸造有限公司副总经理付辉，江苏万恒新材料科技有限公司总工程师张焕东，机械工业节能与资源利用中心王倩，中国汽车战略与政策研究中心马乃锋，济南圣泉集团股份有限公司首席技术专家祝建勋，中联认证中心（北京）有限公司副总经理王一帆，苏州明志科技股份有限公司总工程师杨林龙，诺瑞肯集团亚太区战略发展副总裁李晓明，中车戚墅堰机车车辆工艺研究所股份有限公司主任朱正峰，机械工业环保产业发展中心杜雯，中国船舶集团有限公司第七一八研究所王晓辰，济南科德智能科技有限公司工业信息化部总监张传印等共计90家单位110余位代表出席会议。会议由中铸协双碳委乔世杰秘书长主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eastAsia="宋体" w:cs="Times New Roman"/>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drawing>
          <wp:inline distT="0" distB="0" distL="114300" distR="114300">
            <wp:extent cx="3296920" cy="2108200"/>
            <wp:effectExtent l="0" t="0" r="5080" b="0"/>
            <wp:docPr id="10" name="图片 1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8"/>
                    <pic:cNvPicPr>
                      <a:picLocks noChangeAspect="1"/>
                    </pic:cNvPicPr>
                  </pic:nvPicPr>
                  <pic:blipFill>
                    <a:blip r:embed="rId20"/>
                    <a:stretch>
                      <a:fillRect/>
                    </a:stretch>
                  </pic:blipFill>
                  <pic:spPr>
                    <a:xfrm>
                      <a:off x="0" y="0"/>
                      <a:ext cx="3296920" cy="2108200"/>
                    </a:xfrm>
                    <a:prstGeom prst="rect">
                      <a:avLst/>
                    </a:prstGeom>
                    <a:noFill/>
                    <a:ln w="9525">
                      <a:noFill/>
                    </a:ln>
                  </pic:spPr>
                </pic:pic>
              </a:graphicData>
            </a:graphic>
          </wp:inline>
        </w:drawing>
      </w:r>
    </w:p>
    <w:p>
      <w:pPr>
        <w:spacing w:line="360" w:lineRule="auto"/>
        <w:ind w:firstLine="720" w:firstLineChars="300"/>
        <w:rPr>
          <w:rFonts w:hint="eastAsia" w:ascii="仿宋" w:hAnsi="仿宋" w:eastAsia="仿宋" w:cs="仿宋"/>
          <w:sz w:val="24"/>
          <w:szCs w:val="32"/>
        </w:rPr>
      </w:pPr>
      <w:r>
        <w:rPr>
          <w:rFonts w:hint="eastAsia" w:ascii="仿宋" w:hAnsi="仿宋" w:eastAsia="仿宋" w:cs="仿宋"/>
          <w:sz w:val="24"/>
          <w:szCs w:val="32"/>
          <w:lang w:val="en-US" w:eastAsia="zh-CN"/>
        </w:rPr>
        <w:t>张立波会长代表中国铸造协会发表致辞，他指出，推进“双碳”承诺，是我国对国际社会的庄严承诺，也是推动经济结构转型升级、形成绿色低碳产业竞争优势，实现高质量发展的内在要求。实现碳达峰碳中和，等不得也急不得，不可能毕其功于一役，必须坚持稳中求进、逐步实现，决不能搞“碳冲锋”、“运动式减碳”。铸造是装备制造业不可或缺的工艺环节，是众多主机产品和高端装备创新发展的坚实支撑和基础保障，关乎装备制造业产业链供应链的安全稳定，铸造行业的双碳工作要立足国情，坚持先立后破，以产业机构优化促行业规范发展，以绿色低碳技术促企业节能降碳。</w:t>
      </w:r>
    </w:p>
    <w:p>
      <w:pPr>
        <w:spacing w:line="360" w:lineRule="auto"/>
        <w:rPr>
          <w:rFonts w:hint="eastAsia" w:ascii="仿宋" w:hAnsi="仿宋" w:eastAsia="仿宋" w:cs="仿宋"/>
          <w:sz w:val="24"/>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eastAsia="宋体" w:cs="Times New Roman"/>
          <w:kern w:val="0"/>
          <w:sz w:val="24"/>
          <w:szCs w:val="24"/>
          <w:lang w:val="en-US" w:eastAsia="zh-CN" w:bidi="ar"/>
        </w:rPr>
      </w:pPr>
      <w:r>
        <w:rPr>
          <w:rFonts w:ascii="Calibri" w:hAnsi="Calibri" w:eastAsia="宋体" w:cs="Times New Roman"/>
          <w:kern w:val="0"/>
          <w:sz w:val="24"/>
          <w:szCs w:val="24"/>
          <w:lang w:val="en-US" w:eastAsia="zh-CN" w:bidi="ar"/>
        </w:rPr>
        <w:drawing>
          <wp:inline distT="0" distB="0" distL="114300" distR="114300">
            <wp:extent cx="3921760" cy="2671445"/>
            <wp:effectExtent l="0" t="0" r="2540" b="8255"/>
            <wp:docPr id="11" name="图片 1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9"/>
                    <pic:cNvPicPr>
                      <a:picLocks noChangeAspect="1"/>
                    </pic:cNvPicPr>
                  </pic:nvPicPr>
                  <pic:blipFill>
                    <a:blip r:embed="rId21"/>
                    <a:stretch>
                      <a:fillRect/>
                    </a:stretch>
                  </pic:blipFill>
                  <pic:spPr>
                    <a:xfrm>
                      <a:off x="0" y="0"/>
                      <a:ext cx="3921760" cy="267144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eastAsia="宋体" w:cs="Times New Roman"/>
          <w:kern w:val="0"/>
          <w:sz w:val="24"/>
          <w:szCs w:val="24"/>
          <w:lang w:val="en-US" w:eastAsia="zh-CN" w:bidi="ar"/>
        </w:rPr>
      </w:pPr>
    </w:p>
    <w:p>
      <w:pPr>
        <w:rPr>
          <w:rFonts w:hint="eastAsia" w:ascii="仿宋" w:hAnsi="仿宋" w:eastAsia="仿宋" w:cs="仿宋"/>
          <w:sz w:val="24"/>
          <w:szCs w:val="32"/>
          <w:lang w:val="en-US"/>
        </w:rPr>
      </w:pPr>
      <w:r>
        <w:rPr>
          <w:rFonts w:hint="eastAsia" w:ascii="仿宋" w:hAnsi="仿宋" w:eastAsia="仿宋" w:cs="仿宋"/>
          <w:sz w:val="24"/>
          <w:szCs w:val="32"/>
          <w:lang w:val="en-US" w:eastAsia="zh-CN"/>
        </w:rPr>
        <w:t>来源： 中国铸造协会 </w:t>
      </w:r>
      <w:r>
        <w:rPr>
          <w:rFonts w:hint="eastAsia" w:ascii="仿宋" w:hAnsi="仿宋" w:eastAsia="仿宋" w:cs="仿宋"/>
          <w:sz w:val="24"/>
          <w:szCs w:val="32"/>
          <w:lang w:val="en-US" w:eastAsia="zh-CN"/>
        </w:rPr>
        <w:fldChar w:fldCharType="begin"/>
      </w:r>
      <w:r>
        <w:rPr>
          <w:rFonts w:hint="eastAsia" w:ascii="仿宋" w:hAnsi="仿宋" w:eastAsia="仿宋" w:cs="仿宋"/>
          <w:sz w:val="24"/>
          <w:szCs w:val="32"/>
          <w:lang w:val="en-US" w:eastAsia="zh-CN"/>
        </w:rPr>
        <w:instrText xml:space="preserve"> HYPERLINK "javascript:void(0);" </w:instrText>
      </w:r>
      <w:r>
        <w:rPr>
          <w:rFonts w:hint="eastAsia" w:ascii="仿宋" w:hAnsi="仿宋" w:eastAsia="仿宋" w:cs="仿宋"/>
          <w:sz w:val="24"/>
          <w:szCs w:val="32"/>
          <w:lang w:val="en-US" w:eastAsia="zh-CN"/>
        </w:rPr>
        <w:fldChar w:fldCharType="separate"/>
      </w:r>
      <w:r>
        <w:rPr>
          <w:rFonts w:hint="eastAsia" w:ascii="仿宋" w:hAnsi="仿宋" w:eastAsia="仿宋" w:cs="仿宋"/>
          <w:sz w:val="24"/>
          <w:szCs w:val="32"/>
        </w:rPr>
        <w:t>中铸协</w:t>
      </w:r>
      <w:r>
        <w:rPr>
          <w:rFonts w:hint="eastAsia" w:ascii="仿宋" w:hAnsi="仿宋" w:eastAsia="仿宋" w:cs="仿宋"/>
          <w:sz w:val="24"/>
          <w:szCs w:val="32"/>
          <w:lang w:val="en-US" w:eastAsia="zh-CN"/>
        </w:rPr>
        <w:fldChar w:fldCharType="end"/>
      </w:r>
      <w:r>
        <w:rPr>
          <w:rFonts w:hint="eastAsia" w:ascii="仿宋" w:hAnsi="仿宋" w:eastAsia="仿宋" w:cs="仿宋"/>
          <w:sz w:val="24"/>
          <w:szCs w:val="32"/>
          <w:lang w:val="en-US" w:eastAsia="zh-CN"/>
        </w:rPr>
        <w:t xml:space="preserve"> </w:t>
      </w:r>
    </w:p>
    <w:p>
      <w:pPr>
        <w:spacing w:line="360" w:lineRule="auto"/>
        <w:rPr>
          <w:rFonts w:hint="eastAsia" w:ascii="仿宋" w:hAnsi="仿宋" w:eastAsia="仿宋" w:cs="仿宋"/>
          <w:b/>
          <w:bCs/>
          <w:sz w:val="24"/>
          <w:szCs w:val="32"/>
          <w:lang w:val="en-US" w:eastAsia="zh-CN"/>
        </w:rPr>
      </w:pPr>
      <w:r>
        <w:rPr>
          <w:rFonts w:hint="eastAsia" w:ascii="仿宋" w:hAnsi="仿宋" w:eastAsia="仿宋" w:cs="仿宋"/>
          <w:b/>
          <w:bCs/>
          <w:color w:val="0000FF"/>
          <w:sz w:val="24"/>
          <w:szCs w:val="32"/>
          <w:lang w:val="en-US" w:eastAsia="zh-CN"/>
        </w:rPr>
        <w:t xml:space="preserve"> </w:t>
      </w:r>
      <w:r>
        <w:rPr>
          <w:rFonts w:hint="eastAsia" w:ascii="仿宋" w:hAnsi="仿宋" w:eastAsia="仿宋" w:cs="仿宋"/>
          <w:b/>
          <w:bCs/>
          <w:sz w:val="24"/>
          <w:szCs w:val="32"/>
          <w:lang w:val="en-US" w:eastAsia="zh-CN"/>
        </w:rPr>
        <w:t xml:space="preserve"> </w:t>
      </w:r>
    </w:p>
    <w:p>
      <w:pPr>
        <w:spacing w:line="360" w:lineRule="auto"/>
        <w:jc w:val="both"/>
        <w:rPr>
          <w:rFonts w:hint="eastAsia" w:ascii="仿宋" w:hAnsi="仿宋" w:eastAsia="仿宋" w:cs="仿宋"/>
          <w:b/>
          <w:bCs/>
          <w:sz w:val="24"/>
          <w:szCs w:val="28"/>
          <w:lang w:val="en-US" w:eastAsia="zh-CN"/>
        </w:rPr>
      </w:pPr>
      <w:r>
        <w:rPr>
          <w:rFonts w:hint="eastAsia" w:ascii="仿宋" w:hAnsi="仿宋" w:eastAsia="仿宋" w:cs="仿宋"/>
          <w:sz w:val="24"/>
          <w:szCs w:val="32"/>
          <w:lang w:val="en-US" w:eastAsia="zh-CN"/>
        </w:rPr>
        <w:t xml:space="preserve"> </w:t>
      </w:r>
      <w:r>
        <w:rPr>
          <w:rFonts w:hint="eastAsia" w:ascii="仿宋" w:hAnsi="仿宋" w:eastAsia="仿宋" w:cs="仿宋"/>
          <w:b/>
          <w:bCs/>
          <w:color w:val="0000FF"/>
          <w:sz w:val="24"/>
          <w:szCs w:val="32"/>
          <w:lang w:val="en-US" w:eastAsia="zh-CN"/>
        </w:rPr>
        <w:t xml:space="preserve">2.1.4 </w:t>
      </w:r>
      <w:r>
        <w:rPr>
          <w:rFonts w:hint="eastAsia" w:ascii="仿宋" w:hAnsi="仿宋" w:eastAsia="仿宋" w:cs="仿宋"/>
          <w:sz w:val="24"/>
          <w:szCs w:val="32"/>
          <w:lang w:val="en-US" w:eastAsia="zh-CN"/>
        </w:rPr>
        <w:t xml:space="preserve"> </w:t>
      </w:r>
      <w:r>
        <w:rPr>
          <w:rFonts w:hint="eastAsia" w:ascii="仿宋" w:hAnsi="仿宋" w:eastAsia="仿宋" w:cs="仿宋"/>
          <w:b/>
          <w:bCs/>
          <w:sz w:val="24"/>
          <w:szCs w:val="28"/>
          <w:lang w:val="en-US" w:eastAsia="zh-CN"/>
        </w:rPr>
        <w:t xml:space="preserve"> 泽州获授山西省级重点铸造专业镇牌匾</w:t>
      </w:r>
    </w:p>
    <w:p>
      <w:pPr>
        <w:spacing w:line="360" w:lineRule="auto"/>
        <w:jc w:val="both"/>
        <w:rPr>
          <w:rFonts w:hint="eastAsia" w:ascii="仿宋" w:hAnsi="仿宋" w:eastAsia="仿宋" w:cs="仿宋"/>
          <w:b w:val="0"/>
          <w:bCs w:val="0"/>
          <w:sz w:val="24"/>
          <w:szCs w:val="28"/>
          <w:lang w:val="en-US" w:eastAsia="zh-CN"/>
        </w:rPr>
      </w:pPr>
      <w:r>
        <w:rPr>
          <w:rFonts w:hint="eastAsia" w:ascii="仿宋" w:hAnsi="仿宋" w:eastAsia="仿宋" w:cs="仿宋"/>
          <w:b/>
          <w:bCs/>
          <w:sz w:val="24"/>
          <w:szCs w:val="28"/>
          <w:lang w:val="en-US" w:eastAsia="zh-CN"/>
        </w:rPr>
        <w:t>　　</w:t>
      </w:r>
      <w:r>
        <w:rPr>
          <w:rFonts w:hint="eastAsia" w:ascii="仿宋" w:hAnsi="仿宋" w:eastAsia="仿宋" w:cs="仿宋"/>
          <w:b w:val="0"/>
          <w:bCs w:val="0"/>
          <w:sz w:val="24"/>
          <w:szCs w:val="28"/>
          <w:lang w:val="en-US" w:eastAsia="zh-CN"/>
        </w:rPr>
        <w:t>山西省工信厅5日发布，12月4日，在山西全省新型工业化推进暨制造业振兴升级大会上，第二批8家省级重点专业镇获得授牌。</w:t>
      </w:r>
    </w:p>
    <w:p>
      <w:pPr>
        <w:spacing w:line="360" w:lineRule="auto"/>
        <w:jc w:val="both"/>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　　山西将打造特色专业镇视为加快产业转型升级、做强县域经济、促进就业富民的重要平台和抓手。</w:t>
      </w:r>
    </w:p>
    <w:p>
      <w:pPr>
        <w:spacing w:line="360" w:lineRule="auto"/>
        <w:jc w:val="both"/>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　　截至目前，山西省级专业镇数量达到18个。第二批省级重点专业镇集中于制造业、特优农业和特色轻工(工艺美术)3类，其中制造业类新增4家，特优农业类新增2家，特色轻工(工艺美术)类新增2家。</w:t>
      </w:r>
    </w:p>
    <w:p>
      <w:pPr>
        <w:spacing w:line="360" w:lineRule="auto"/>
        <w:jc w:val="both"/>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　　以制造业类专业镇为例，其中包括泽州铸造专业镇、阳泉郊区耐火材料专业镇、盐湖水泵专业镇、榆次纺机液压专业镇。</w:t>
      </w:r>
    </w:p>
    <w:p>
      <w:pPr>
        <w:spacing w:line="360" w:lineRule="auto"/>
        <w:jc w:val="both"/>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　　铸造是晋城市的传统特色产业，已有2000多年历史，晋城市泽州县素有“煤铁之乡”之称，被中国铸造协会认定为“中国铸造产业集群县”，球墨铸铁管和市政铸件国内市场占有率30%以上。现有铸造企业199户，其中，规上企业38户，国家级专精特新“小巨人”企业5户、省级“专精特新中小企业”20户。2022年实现产值70亿元。拥有国家级工程中心1户、省级企业技术中心7户，带动就业人数4.5万余人。</w:t>
      </w:r>
    </w:p>
    <w:p>
      <w:pPr>
        <w:spacing w:line="360" w:lineRule="auto"/>
        <w:jc w:val="both"/>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　　榆次纺机液压专业镇现有生产制造及配套企业206户，其中规上企业40户，高新技术企业34户、单项冠军企业1户，国家级专精特新“小巨人”企业3户。企业生产的细纱机、精梳机、液压元器件、液压系统国内市场占有率分别为65%、45%、15%、30%。</w:t>
      </w:r>
    </w:p>
    <w:p>
      <w:pPr>
        <w:spacing w:line="360" w:lineRule="auto"/>
        <w:jc w:val="both"/>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　　在特优农业类专业镇领域，云州大同黄花专业镇产品在国内市场占比达20%。自北魏时期开始，大同就有种植黄花的传统。大同黄花品相品质位居全国六大产区之首，是全国重要的黄花主产地。</w:t>
      </w:r>
    </w:p>
    <w:p>
      <w:pPr>
        <w:spacing w:line="360" w:lineRule="auto"/>
        <w:jc w:val="both"/>
        <w:rPr>
          <w:rFonts w:hint="eastAsia" w:ascii="仿宋" w:hAnsi="仿宋" w:eastAsia="仿宋" w:cs="仿宋"/>
          <w:sz w:val="24"/>
          <w:szCs w:val="28"/>
          <w:lang w:val="en-US" w:eastAsia="zh-CN"/>
        </w:rPr>
      </w:pPr>
      <w:r>
        <w:rPr>
          <w:rFonts w:hint="eastAsia" w:ascii="仿宋" w:hAnsi="仿宋" w:eastAsia="仿宋" w:cs="仿宋"/>
          <w:b w:val="0"/>
          <w:bCs w:val="0"/>
          <w:sz w:val="24"/>
          <w:szCs w:val="28"/>
          <w:lang w:val="en-US" w:eastAsia="zh-CN"/>
        </w:rPr>
        <w:t>　　在特色轻工(工艺美术)类专业镇领域，大同经开区医药专业镇包括规上企业13户，上市企业1户，国家高新技术企业9户，国家级技术中心1户，100余条生产线全部通过GMP认证，各类药品生产批准文号1422个，产品涵盖化学原料药、化学制剂、生物制剂、中药饮片与制剂四大系列。 来源：中国新闻网收藏</w:t>
      </w:r>
    </w:p>
    <w:p>
      <w:pPr>
        <w:spacing w:line="360" w:lineRule="auto"/>
        <w:jc w:val="both"/>
        <w:rPr>
          <w:rFonts w:hint="eastAsia" w:ascii="仿宋" w:hAnsi="仿宋" w:eastAsia="仿宋" w:cs="仿宋"/>
          <w:b/>
          <w:bCs/>
          <w:sz w:val="28"/>
          <w:szCs w:val="28"/>
          <w:lang w:val="en-US" w:eastAsia="zh-CN"/>
        </w:rPr>
      </w:pPr>
    </w:p>
    <w:p>
      <w:pPr>
        <w:spacing w:line="360" w:lineRule="auto"/>
        <w:jc w:val="both"/>
        <w:rPr>
          <w:rFonts w:hint="eastAsia"/>
          <w:lang w:val="en-US" w:eastAsia="zh-CN"/>
        </w:rPr>
      </w:pPr>
      <w:r>
        <w:rPr>
          <w:rFonts w:hint="eastAsia" w:ascii="仿宋" w:hAnsi="仿宋" w:eastAsia="仿宋" w:cs="仿宋"/>
          <w:b/>
          <w:bCs/>
          <w:sz w:val="28"/>
          <w:szCs w:val="28"/>
          <w:lang w:val="en-US" w:eastAsia="zh-CN"/>
        </w:rPr>
        <w:t>2.2</w:t>
      </w:r>
      <w:r>
        <w:rPr>
          <w:rFonts w:hint="eastAsia" w:ascii="仿宋" w:hAnsi="仿宋" w:eastAsia="仿宋" w:cs="仿宋"/>
          <w:b/>
          <w:bCs/>
          <w:color w:val="auto"/>
          <w:sz w:val="28"/>
          <w:szCs w:val="28"/>
          <w:lang w:val="en-US" w:eastAsia="zh-CN"/>
        </w:rPr>
        <w:t>会议一览表</w:t>
      </w:r>
    </w:p>
    <w:tbl>
      <w:tblPr>
        <w:tblStyle w:val="18"/>
        <w:tblpPr w:leftFromText="180" w:rightFromText="180" w:vertAnchor="text" w:horzAnchor="page" w:tblpX="1887" w:tblpY="691"/>
        <w:tblOverlap w:val="never"/>
        <w:tblW w:w="83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747"/>
        <w:gridCol w:w="1200"/>
        <w:gridCol w:w="1758"/>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01</w:t>
            </w:r>
          </w:p>
        </w:tc>
        <w:tc>
          <w:tcPr>
            <w:tcW w:w="2747"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2023年成都市铸造行业协会年会暨铸件采购洽谈会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2024年3月 9—11日</w:t>
            </w:r>
          </w:p>
        </w:tc>
        <w:tc>
          <w:tcPr>
            <w:tcW w:w="1758"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成都市都江堰市</w:t>
            </w:r>
          </w:p>
        </w:tc>
        <w:tc>
          <w:tcPr>
            <w:tcW w:w="2015"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高成勋 18628026532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02</w:t>
            </w:r>
          </w:p>
        </w:tc>
        <w:tc>
          <w:tcPr>
            <w:tcW w:w="2747"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 年湖北省铸造年会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2024年3月 21—23日</w:t>
            </w:r>
          </w:p>
        </w:tc>
        <w:tc>
          <w:tcPr>
            <w:tcW w:w="1758"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湖北黄石富力万达嘉华酒店</w:t>
            </w:r>
          </w:p>
        </w:tc>
        <w:tc>
          <w:tcPr>
            <w:tcW w:w="2015"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 xml:space="preserve">湖北省铸造协会/万安元 13907154791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03</w:t>
            </w:r>
          </w:p>
        </w:tc>
        <w:tc>
          <w:tcPr>
            <w:tcW w:w="2747"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2024第六届山东国际铸造工业展览会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2024年4月 26—28日</w:t>
            </w:r>
          </w:p>
        </w:tc>
        <w:tc>
          <w:tcPr>
            <w:tcW w:w="1758"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青岛世界博览城</w:t>
            </w:r>
          </w:p>
        </w:tc>
        <w:tc>
          <w:tcPr>
            <w:tcW w:w="2015"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王钰 13691163126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04</w:t>
            </w:r>
          </w:p>
        </w:tc>
        <w:tc>
          <w:tcPr>
            <w:tcW w:w="2747"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2024年重庆市铸造年会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2024年5月11-13日</w:t>
            </w:r>
          </w:p>
        </w:tc>
        <w:tc>
          <w:tcPr>
            <w:tcW w:w="1758"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学豪酒店（南岸区五公里）</w:t>
            </w:r>
          </w:p>
        </w:tc>
        <w:tc>
          <w:tcPr>
            <w:tcW w:w="2015"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重庆市铸造行业协会  王公平 13638350442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05</w:t>
            </w:r>
          </w:p>
        </w:tc>
        <w:tc>
          <w:tcPr>
            <w:tcW w:w="2747"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中亚一带一路（新疆）工业博览会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2024年5月16-18日</w:t>
            </w:r>
          </w:p>
        </w:tc>
        <w:tc>
          <w:tcPr>
            <w:tcW w:w="1758"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新疆国际会展中心</w:t>
            </w:r>
          </w:p>
        </w:tc>
        <w:tc>
          <w:tcPr>
            <w:tcW w:w="2015"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董经理 13522505163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06</w:t>
            </w:r>
          </w:p>
        </w:tc>
        <w:tc>
          <w:tcPr>
            <w:tcW w:w="2747"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2024年东北地区铸造年会暨中国铸造行业峰会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2024年6月13-15日</w:t>
            </w:r>
          </w:p>
        </w:tc>
        <w:tc>
          <w:tcPr>
            <w:tcW w:w="1758"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沈阳天丰国际酒店</w:t>
            </w:r>
          </w:p>
        </w:tc>
        <w:tc>
          <w:tcPr>
            <w:tcW w:w="2015"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封彦新 13190055170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650" w:type="dxa"/>
            <w:noWrap w:val="0"/>
            <w:vAlign w:val="center"/>
          </w:tcPr>
          <w:p>
            <w:pPr>
              <w:jc w:val="center"/>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07</w:t>
            </w:r>
          </w:p>
        </w:tc>
        <w:tc>
          <w:tcPr>
            <w:tcW w:w="2747"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2024第22届中国际铸造博览会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2024年7月 4-7日</w:t>
            </w:r>
          </w:p>
        </w:tc>
        <w:tc>
          <w:tcPr>
            <w:tcW w:w="1758"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国际会展中心（上海）</w:t>
            </w:r>
          </w:p>
        </w:tc>
        <w:tc>
          <w:tcPr>
            <w:tcW w:w="2015"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中国铸造协会 /陈海阔13381183827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08</w:t>
            </w:r>
          </w:p>
        </w:tc>
        <w:tc>
          <w:tcPr>
            <w:tcW w:w="2747"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第二十届中国铸造协会年会</w:t>
            </w:r>
          </w:p>
        </w:tc>
        <w:tc>
          <w:tcPr>
            <w:tcW w:w="1200"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2024年7月 1-4日</w:t>
            </w:r>
          </w:p>
        </w:tc>
        <w:tc>
          <w:tcPr>
            <w:tcW w:w="1758"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上海富悦大酒店</w:t>
            </w:r>
          </w:p>
        </w:tc>
        <w:tc>
          <w:tcPr>
            <w:tcW w:w="2015"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刘琼 18911227977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650" w:type="dxa"/>
            <w:noWrap w:val="0"/>
            <w:vAlign w:val="center"/>
          </w:tcPr>
          <w:p>
            <w:pPr>
              <w:jc w:val="center"/>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09</w:t>
            </w:r>
          </w:p>
        </w:tc>
        <w:tc>
          <w:tcPr>
            <w:tcW w:w="2747"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第75届世界铸造会议</w:t>
            </w:r>
          </w:p>
        </w:tc>
        <w:tc>
          <w:tcPr>
            <w:tcW w:w="1200"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2024年10月25-30日</w:t>
            </w:r>
          </w:p>
        </w:tc>
        <w:tc>
          <w:tcPr>
            <w:tcW w:w="1758" w:type="dxa"/>
            <w:noWrap w:val="0"/>
            <w:vAlign w:val="center"/>
          </w:tcPr>
          <w:p>
            <w:pPr>
              <w:jc w:val="left"/>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四川德阳</w:t>
            </w:r>
          </w:p>
        </w:tc>
        <w:tc>
          <w:tcPr>
            <w:tcW w:w="2015" w:type="dxa"/>
            <w:noWrap w:val="0"/>
            <w:vAlign w:val="center"/>
          </w:tcPr>
          <w:p>
            <w:pPr>
              <w:jc w:val="left"/>
              <w:rPr>
                <w:rFonts w:hint="default" w:ascii="仿宋" w:hAnsi="仿宋" w:eastAsia="仿宋" w:cs="仿宋"/>
                <w:color w:val="000000"/>
                <w:kern w:val="2"/>
                <w:sz w:val="20"/>
                <w:szCs w:val="20"/>
                <w:lang w:val="en-US" w:eastAsia="zh-CN" w:bidi="ar-SA"/>
              </w:rPr>
            </w:pPr>
            <w:r>
              <w:rPr>
                <w:rFonts w:hint="eastAsia" w:ascii="仿宋" w:hAnsi="仿宋" w:eastAsia="仿宋" w:cs="仿宋"/>
                <w:color w:val="000000"/>
                <w:kern w:val="2"/>
                <w:sz w:val="20"/>
                <w:szCs w:val="20"/>
                <w:lang w:val="en-US" w:eastAsia="zh-CN" w:bidi="ar-SA"/>
              </w:rPr>
              <w:t>中国机械工程学会铸造分会/李诗颖 024-25877030</w:t>
            </w:r>
          </w:p>
        </w:tc>
      </w:tr>
    </w:tbl>
    <w:p>
      <w:pPr>
        <w:pStyle w:val="31"/>
        <w:jc w:val="center"/>
        <w:rPr>
          <w:rFonts w:hint="eastAsia"/>
          <w:sz w:val="16"/>
          <w:szCs w:val="16"/>
          <w:lang w:val="en-US" w:eastAsia="zh-CN"/>
        </w:rPr>
      </w:pPr>
    </w:p>
    <w:p>
      <w:pPr>
        <w:rPr>
          <w:rFonts w:hint="eastAsia" w:ascii="仿宋" w:hAnsi="仿宋" w:eastAsia="仿宋" w:cs="仿宋"/>
          <w:b/>
          <w:bCs/>
          <w:sz w:val="28"/>
          <w:szCs w:val="28"/>
          <w:lang w:val="en-US" w:eastAsia="zh-CN"/>
        </w:rPr>
      </w:pPr>
      <w:r>
        <w:rPr>
          <w:rFonts w:hint="eastAsia" w:ascii="仿宋" w:hAnsi="仿宋" w:eastAsia="仿宋" w:cs="仿宋"/>
          <w:color w:val="000000"/>
          <w:sz w:val="24"/>
          <w:szCs w:val="24"/>
        </w:rPr>
        <w:t>注:会议准确日期以主办单位的通知为准。</w:t>
      </w:r>
    </w:p>
    <w:p>
      <w:pPr>
        <w:pStyle w:val="31"/>
        <w:rPr>
          <w:rFonts w:hint="default"/>
          <w:color w:val="FF0000"/>
          <w:lang w:val="en-US" w:eastAsia="zh-CN"/>
        </w:rPr>
      </w:pPr>
      <w:r>
        <w:rPr>
          <w:rFonts w:hint="eastAsia" w:ascii="仿宋" w:hAnsi="仿宋" w:eastAsia="仿宋" w:cs="仿宋"/>
          <w:b/>
          <w:bCs/>
          <w:sz w:val="28"/>
          <w:szCs w:val="28"/>
          <w:lang w:val="en-US" w:eastAsia="zh-CN"/>
        </w:rPr>
        <w:t>2.3 铸造相关的重要活动</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 w:hAnsi="仿宋" w:eastAsia="仿宋" w:cs="仿宋"/>
          <w:b/>
          <w:bCs/>
          <w:color w:val="0000FF"/>
          <w:sz w:val="24"/>
          <w:szCs w:val="24"/>
          <w:lang w:val="en-US" w:eastAsia="zh-CN"/>
        </w:rPr>
      </w:pPr>
      <w:r>
        <w:rPr>
          <w:rFonts w:hint="eastAsia" w:ascii="仿宋" w:hAnsi="仿宋" w:eastAsia="仿宋" w:cs="仿宋"/>
          <w:b/>
          <w:bCs/>
          <w:color w:val="0000FF"/>
          <w:sz w:val="24"/>
          <w:szCs w:val="24"/>
          <w:lang w:val="en-US" w:eastAsia="zh-CN"/>
        </w:rPr>
        <w:t>2.3.1 关于全面开展2023年“中级注册安全工程师”考前辅导培训班的通知</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480" w:firstLineChars="20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为提高铸造行业企业安全生产管理水平，提升安全生产管理能力，加快安全生产专业技术人才队伍建设，补充我省铸造行业注册安全工程师、安全管理专业队伍缺口，根据我省各铸造企业反应需求，解决当前注册安全工程师系统培训教育不全面、学习时间不固定、考试取证率低等问题,山西省铸造行业协会联合国内教学质量高、师资力量强、考试通过率高、学员反映优良的培训单位北京京世博管理顾问有限公司在我省开展中级注册安全工程师考前辅导培训工作，现将2023年“中级注册安全工程师"辅导培训相关事宜通知如下:</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一、培训对象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1、各单位主要负责人及负责安全生产的高级管理人员；</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sz w:val="24"/>
          <w:szCs w:val="24"/>
          <w:lang w:val="en-US" w:eastAsia="zh-CN"/>
        </w:rPr>
        <w:t>2、其他符合国家规定的注册安全工程师报考条件的相关人员。</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二、培训方式、学时</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1、根据学员学习时间，随时在线精讲网课+特训网课+专题网课+习题库+考前重点等有效方式进行学习，由教务组一对一进行跟踪服务。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2、学时根据每科目不同，学时不同，具体以网课为主。</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3、网络学习平台：安易网学www.zvjn.org.cn</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三、培训内容</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1、国家注册安全工程师统编教材考点知识精讲；</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2、《全国安全生产专项整治三年行动计划》专题解读培训：</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3、学习宣传贯彻习近平总书记关于安全生产重要论述专题；</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4、落实企业安全生产主体责任专题和安全生产管理专题;</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5、定期更新的最新国家政策解读；</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6、危险化学品、煤矿、非煤矿山、消防、道路运输、交通运输（民航、铁路、邮政、水上和城市轨道交通）和渔业船舶、城市建设、工业园区等功能区、危险废物等安全整治9个专项实施方案解读。</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四、培训费用</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安全生产法及相关法律知识》、《安全生产管理知识》、《安全生产技术》、《安全生产事故案例分析》四个考试科目，报单科目培训费用2480元（包括学习材料、周期内（4年）线上学习、直播、面授、模考系统、教务等费用，直至考试通过），四门科联报优惠价6800元。</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sz w:val="24"/>
          <w:szCs w:val="24"/>
          <w:lang w:val="en-US" w:eastAsia="zh-CN"/>
        </w:rPr>
        <w:t>2、四门联报6800元的学习费用是：从学员报名到取得证书，中途不再收取任何其它升班费及考前重点费用。</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五、证书颁发及使用</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480" w:firstLineChars="2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通过培训学习并在周期内通过统一考试的人员，由国家应急管理部及国家人力资源和社会保障部共同颁发注册安全工程师证书。</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六、培训、考试流程</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1、考前培训将以线上直播方式进行，能达到面授的效果。</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2、官网发布通知报名时间后，登陆中国人事考试网报名。（报名网址：http://www.cpta.com.cn/）</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七、报名流程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240" w:firstLineChars="100"/>
        <w:jc w:val="both"/>
        <w:textAlignment w:val="auto"/>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1、填写报名申请表至指定邮箱：报名到协会邮箱：</w:t>
      </w:r>
      <w:r>
        <w:rPr>
          <w:rFonts w:hint="eastAsia" w:ascii="仿宋" w:hAnsi="仿宋" w:eastAsia="仿宋" w:cs="仿宋"/>
          <w:kern w:val="0"/>
          <w:sz w:val="24"/>
          <w:szCs w:val="24"/>
          <w:lang w:val="en-US" w:eastAsia="zh-CN" w:bidi="ar"/>
        </w:rPr>
        <w:fldChar w:fldCharType="begin"/>
      </w:r>
      <w:r>
        <w:rPr>
          <w:rFonts w:hint="eastAsia" w:ascii="仿宋" w:hAnsi="仿宋" w:eastAsia="仿宋" w:cs="仿宋"/>
          <w:kern w:val="0"/>
          <w:sz w:val="24"/>
          <w:szCs w:val="24"/>
          <w:lang w:val="en-US" w:eastAsia="zh-CN" w:bidi="ar"/>
        </w:rPr>
        <w:instrText xml:space="preserve">HYPERLINK "mailto:sxzzxh12@163.com"</w:instrText>
      </w:r>
      <w:r>
        <w:rPr>
          <w:rFonts w:hint="eastAsia" w:ascii="仿宋" w:hAnsi="仿宋" w:eastAsia="仿宋" w:cs="仿宋"/>
          <w:kern w:val="0"/>
          <w:sz w:val="24"/>
          <w:szCs w:val="24"/>
          <w:lang w:val="en-US" w:eastAsia="zh-CN" w:bidi="ar"/>
        </w:rPr>
        <w:fldChar w:fldCharType="separate"/>
      </w:r>
      <w:r>
        <w:rPr>
          <w:rFonts w:hint="eastAsia" w:ascii="仿宋" w:hAnsi="仿宋" w:eastAsia="仿宋" w:cs="仿宋"/>
          <w:color w:val="0000FF"/>
          <w:kern w:val="0"/>
          <w:sz w:val="24"/>
          <w:szCs w:val="24"/>
          <w:u w:val="single"/>
          <w:lang w:val="en-US" w:eastAsia="zh-CN" w:bidi="ar"/>
        </w:rPr>
        <w:t>sxzzxh12@163.com</w:t>
      </w:r>
      <w:r>
        <w:rPr>
          <w:rFonts w:hint="eastAsia" w:ascii="仿宋" w:hAnsi="仿宋" w:eastAsia="仿宋" w:cs="仿宋"/>
          <w:kern w:val="0"/>
          <w:sz w:val="24"/>
          <w:szCs w:val="24"/>
          <w:lang w:val="en-US" w:eastAsia="zh-CN" w:bidi="ar"/>
        </w:rPr>
        <w:fldChar w:fldCharType="end"/>
      </w:r>
      <w:r>
        <w:rPr>
          <w:rFonts w:hint="eastAsia" w:ascii="仿宋" w:hAnsi="仿宋" w:eastAsia="仿宋" w:cs="仿宋"/>
          <w:kern w:val="0"/>
          <w:sz w:val="24"/>
          <w:szCs w:val="24"/>
          <w:lang w:val="en-US" w:eastAsia="zh-CN" w:bidi="ar"/>
        </w:rPr>
        <w:t>,审核通过后、统一编号并盖山西铸协章，电话通知缴费。</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2、缴纳培训费到以下账户：</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收款账户名称：北京京世博管理顾问有限公司</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收款银行：中国建设银行北京中关村支行</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收款账号：1100 1085 7000 5300 3496</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"mailto:3、将汇款凭证回传至指定邮箱936915278@qq.com" </w:instrText>
      </w:r>
      <w:r>
        <w:rPr>
          <w:rFonts w:hint="eastAsia" w:ascii="仿宋" w:hAnsi="仿宋" w:eastAsia="仿宋" w:cs="仿宋"/>
          <w:sz w:val="24"/>
          <w:szCs w:val="24"/>
          <w:lang w:val="en-US" w:eastAsia="zh-CN"/>
        </w:rPr>
        <w:fldChar w:fldCharType="separate"/>
      </w:r>
      <w:r>
        <w:rPr>
          <w:rFonts w:hint="eastAsia" w:ascii="仿宋" w:hAnsi="仿宋" w:eastAsia="仿宋" w:cs="仿宋"/>
          <w:sz w:val="24"/>
          <w:szCs w:val="24"/>
          <w:lang w:val="en-US" w:eastAsia="zh-CN"/>
        </w:rPr>
        <w:t>3、将汇款凭证回传至邮箱936915278@qq.com</w:t>
      </w:r>
      <w:r>
        <w:rPr>
          <w:rFonts w:hint="eastAsia" w:ascii="仿宋" w:hAnsi="仿宋" w:eastAsia="仿宋" w:cs="仿宋"/>
          <w:sz w:val="24"/>
          <w:szCs w:val="24"/>
          <w:lang w:val="en-US" w:eastAsia="zh-CN"/>
        </w:rPr>
        <w:fldChar w:fldCharType="end"/>
      </w:r>
      <w:r>
        <w:rPr>
          <w:rFonts w:hint="eastAsia" w:ascii="仿宋" w:hAnsi="仿宋" w:eastAsia="仿宋" w:cs="仿宋"/>
          <w:sz w:val="24"/>
          <w:szCs w:val="24"/>
          <w:lang w:val="en-US" w:eastAsia="zh-CN"/>
        </w:rPr>
        <w:t>和</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HYPERLINK "mailto:sxzzxh12@163.com"</w:instrText>
      </w:r>
      <w:r>
        <w:rPr>
          <w:rFonts w:hint="eastAsia" w:ascii="仿宋" w:hAnsi="仿宋" w:eastAsia="仿宋" w:cs="仿宋"/>
          <w:sz w:val="24"/>
          <w:szCs w:val="24"/>
        </w:rPr>
        <w:fldChar w:fldCharType="separate"/>
      </w:r>
      <w:r>
        <w:rPr>
          <w:rFonts w:hint="eastAsia" w:ascii="仿宋" w:hAnsi="仿宋" w:eastAsia="仿宋" w:cs="仿宋"/>
          <w:color w:val="0000FF"/>
          <w:sz w:val="24"/>
          <w:szCs w:val="24"/>
          <w:u w:val="single"/>
        </w:rPr>
        <w:t>sxzzxh12@163.com</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,由北京京世博管理顾问有限公司开具发票，邮寄教材讲义及内部学习资料；</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4、开通远程在线学习和模拟考试系统，安排相关面授事宜。</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八、</w:t>
      </w:r>
      <w:r>
        <w:rPr>
          <w:rFonts w:hint="eastAsia" w:ascii="仿宋" w:hAnsi="仿宋" w:eastAsia="仿宋" w:cs="仿宋"/>
          <w:b/>
          <w:bCs/>
          <w:i w:val="0"/>
          <w:caps w:val="0"/>
          <w:color w:val="333333"/>
          <w:spacing w:val="7"/>
          <w:sz w:val="24"/>
          <w:szCs w:val="24"/>
          <w:shd w:val="clear" w:color="auto" w:fill="FFFFFF"/>
          <w:lang w:val="en-US" w:eastAsia="zh-CN"/>
        </w:rPr>
        <w:t>联系咨询：</w:t>
      </w:r>
      <w:r>
        <w:rPr>
          <w:rFonts w:hint="eastAsia" w:ascii="仿宋" w:hAnsi="仿宋" w:eastAsia="仿宋" w:cs="仿宋"/>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山西省铸造行业协会</w:t>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 xml:space="preserve"> 联系人：</w:t>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王广业</w:t>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13703594116</w:t>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240" w:firstLineChars="100"/>
        <w:jc w:val="left"/>
        <w:textAlignment w:val="auto"/>
        <w:outlineLvl w:val="9"/>
        <w:rPr>
          <w:rFonts w:hint="eastAsia" w:ascii="仿宋" w:hAnsi="仿宋" w:eastAsia="仿宋" w:cs="仿宋"/>
          <w:b/>
          <w:bCs/>
          <w:color w:val="0000FF"/>
          <w:sz w:val="24"/>
          <w:szCs w:val="24"/>
          <w:lang w:val="en-US" w:eastAsia="zh-CN"/>
        </w:rPr>
      </w:pPr>
      <w:r>
        <w:rPr>
          <w:rFonts w:hint="eastAsia" w:ascii="仿宋" w:hAnsi="仿宋" w:eastAsia="仿宋" w:cs="仿宋"/>
          <w:sz w:val="24"/>
          <w:szCs w:val="24"/>
          <w:lang w:val="en-US" w:eastAsia="zh-CN"/>
        </w:rPr>
        <w:t>北京京世博管理顾问有限公司  联系人：武月 13661134968</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jc w:val="both"/>
        <w:textAlignment w:val="auto"/>
        <w:outlineLvl w:val="9"/>
        <w:rPr>
          <w:rFonts w:hint="eastAsia" w:ascii="仿宋" w:hAnsi="仿宋" w:eastAsia="仿宋" w:cs="仿宋"/>
          <w:color w:val="0000FF"/>
          <w:sz w:val="28"/>
          <w:szCs w:val="28"/>
          <w:lang w:val="en-US" w:eastAsia="zh-CN"/>
        </w:rPr>
      </w:pPr>
      <w:r>
        <w:rPr>
          <w:rFonts w:hint="eastAsia" w:ascii="仿宋" w:hAnsi="仿宋" w:eastAsia="仿宋" w:cs="仿宋"/>
          <w:b/>
          <w:bCs/>
          <w:color w:val="0000FF"/>
          <w:sz w:val="24"/>
          <w:szCs w:val="24"/>
          <w:lang w:val="en-US" w:eastAsia="zh-CN"/>
        </w:rPr>
        <w:t>2.3.2  关于开展“碳减排领域专业技能岗位人才培训及考试”的通知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4"/>
          <w:szCs w:val="24"/>
          <w:lang w:val="en-US" w:eastAsia="zh-CN"/>
        </w:rPr>
        <w:t xml:space="preserve"> 为积极响应国家号召，贯彻落实碳达峰碳中和目标战略，促进我国经济社会发展全面绿色转型，培养碳减排领域专业人才，为相关单位制定科学碳目标、碳资产管理及参与碳交易做好人才储备，实现“碳成本”向“碳机遇”的成功转变，山西省铸造行业协会联合中国节能协会推出了“碳排放管理专业技能、碳排放监测专业技能、碳资产管理专业技能、碳交易专业技能、碳排放咨询专业技能、碳汇评估计量专业技能、碳排放评估专业技能等专业技能岗位证书考试和课程学习”,主讲老师均来自相关主管部门、专业机构的一线专家，碳相关领域工作经验丰富、授课内容理论结合实践，对指导具体工作有着较强针对性。现将有关考试和培训学习事项通知如下，请各有关单位和相关从业人员积极参加。</w:t>
      </w:r>
    </w:p>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一、培训对象</w:t>
      </w:r>
    </w:p>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1、各铸造企业有意愿从事碳排放管理行业人员;</w:t>
      </w:r>
    </w:p>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2、环评、环境监测、检测、咨询、运维等第三方服务机构有意愿从事碳排放管理行业人员;</w:t>
      </w:r>
    </w:p>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3、钢铁、有色、石化、化工等纳入碳排放管控行业相关单位能源管理人员;</w:t>
      </w:r>
    </w:p>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4、各级环境部门相关工作人员、环境科研机构、院校有意愿从事碳排放管理行业人 员;</w:t>
      </w:r>
    </w:p>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5、环保设备生产厂家有意愿从事碳排放管理行业人员;</w:t>
      </w:r>
    </w:p>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6、其他有意愿从事碳排放管理行业人员。</w:t>
      </w:r>
    </w:p>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二、培训方式、学时</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1、培训时间： 每年 1 月、3月、5月、7月、9月、11 月开班。</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2、开班方式： 循环开班、随报随学。</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3、培训形式： 线上网络课程授课，培训完成后参加相 应等级的认证考试。</w:t>
      </w:r>
    </w:p>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三、报名资料：</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1.报名审核表;</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2.近期二寸免冠蓝底彩色电子版照片 1 张;</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3.身份证正反面照片;</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4.学历证复印件;                        </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5.包括其他可满足报名条件的相关证明材料。</w:t>
      </w:r>
    </w:p>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四、</w:t>
      </w:r>
      <w:r>
        <w:rPr>
          <w:rFonts w:hint="eastAsia" w:ascii="仿宋" w:hAnsi="仿宋" w:eastAsia="仿宋" w:cs="仿宋"/>
          <w:b/>
          <w:bCs/>
          <w:sz w:val="24"/>
          <w:szCs w:val="24"/>
        </w:rPr>
        <w:t>高级碳减排领域专业技能岗位人才</w:t>
      </w:r>
      <w:r>
        <w:rPr>
          <w:rFonts w:hint="eastAsia" w:ascii="仿宋" w:hAnsi="仿宋" w:eastAsia="仿宋" w:cs="仿宋"/>
          <w:b/>
          <w:bCs/>
          <w:sz w:val="24"/>
          <w:szCs w:val="24"/>
          <w:lang w:val="en-US" w:eastAsia="zh-CN"/>
        </w:rPr>
        <w:t xml:space="preserve">报名条件 </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中专学历(取得其他专业),连续从事相关领域工作满 4 年;</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大专学历(取得其他专业),连续从事相关领域工</w:t>
      </w:r>
      <w:r>
        <w:rPr>
          <w:rFonts w:hint="eastAsia" w:ascii="仿宋" w:hAnsi="仿宋" w:eastAsia="仿宋" w:cs="仿宋"/>
          <w:sz w:val="24"/>
          <w:szCs w:val="24"/>
          <w:lang w:val="en-US" w:eastAsia="zh-CN"/>
        </w:rPr>
        <w:t>作</w:t>
      </w:r>
      <w:r>
        <w:rPr>
          <w:rFonts w:hint="eastAsia" w:ascii="仿宋" w:hAnsi="仿宋" w:eastAsia="仿宋" w:cs="仿宋"/>
          <w:sz w:val="24"/>
          <w:szCs w:val="24"/>
        </w:rPr>
        <w:t xml:space="preserve">满 </w:t>
      </w:r>
      <w:r>
        <w:rPr>
          <w:rFonts w:hint="eastAsia" w:ascii="仿宋" w:hAnsi="仿宋" w:eastAsia="仿宋" w:cs="仿宋"/>
          <w:sz w:val="24"/>
          <w:szCs w:val="24"/>
          <w:lang w:val="en-US" w:eastAsia="zh-CN"/>
        </w:rPr>
        <w:t>3</w:t>
      </w:r>
      <w:r>
        <w:rPr>
          <w:rFonts w:hint="eastAsia" w:ascii="仿宋" w:hAnsi="仿宋" w:eastAsia="仿宋" w:cs="仿宋"/>
          <w:sz w:val="24"/>
          <w:szCs w:val="24"/>
        </w:rPr>
        <w:t>年;</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本科学历(取得其他专业),连续从事相关领域工作满 2年;</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研究生及以上学历(取得其他专业)连续从事相关领域工作满2年;</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具有环境工程与科学、能源等相关专业大专及以上学历，从事相关领域工作满一年;</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取得中级碳减排领域证书，从事相关领域工作满一年;</w:t>
      </w:r>
    </w:p>
    <w:p>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取得其他高级职业或技能证书、职称证书等满一年。(需满足其中一条)</w:t>
      </w:r>
    </w:p>
    <w:p>
      <w:pPr>
        <w:spacing w:line="360" w:lineRule="auto"/>
        <w:rPr>
          <w:rFonts w:hint="eastAsia" w:ascii="仿宋" w:hAnsi="仿宋" w:eastAsia="仿宋" w:cs="仿宋"/>
          <w:b/>
          <w:bCs/>
          <w:sz w:val="24"/>
          <w:szCs w:val="24"/>
          <w:lang w:val="en-US" w:eastAsia="zh-CN"/>
        </w:rPr>
      </w:pPr>
      <w:r>
        <w:rPr>
          <w:rFonts w:hint="eastAsia" w:ascii="仿宋" w:hAnsi="仿宋" w:eastAsia="仿宋" w:cs="仿宋"/>
          <w:sz w:val="24"/>
          <w:szCs w:val="24"/>
        </w:rPr>
        <w:t>注：上述报名条件中有关学历或学位的要求是指经国家 教育行政部门承认的正规学历或学位，工作年限是指取得规 定学历前、后从事该项工作的时间总和，其计算截止日期为 202</w:t>
      </w:r>
      <w:r>
        <w:rPr>
          <w:rFonts w:hint="eastAsia" w:ascii="仿宋" w:hAnsi="仿宋" w:eastAsia="仿宋" w:cs="仿宋"/>
          <w:sz w:val="24"/>
          <w:szCs w:val="24"/>
          <w:lang w:val="en-US" w:eastAsia="zh-CN"/>
        </w:rPr>
        <w:t>3</w:t>
      </w:r>
      <w:r>
        <w:rPr>
          <w:rFonts w:hint="eastAsia" w:ascii="仿宋" w:hAnsi="仿宋" w:eastAsia="仿宋" w:cs="仿宋"/>
          <w:sz w:val="24"/>
          <w:szCs w:val="24"/>
        </w:rPr>
        <w:t>年12月31日。</w:t>
      </w:r>
    </w:p>
    <w:p>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五、</w:t>
      </w:r>
      <w:r>
        <w:rPr>
          <w:rFonts w:hint="eastAsia" w:ascii="仿宋" w:hAnsi="仿宋" w:eastAsia="仿宋" w:cs="仿宋"/>
          <w:b/>
          <w:bCs/>
          <w:sz w:val="24"/>
          <w:szCs w:val="24"/>
        </w:rPr>
        <w:t>考试安排</w:t>
      </w:r>
      <w:r>
        <w:rPr>
          <w:rFonts w:hint="eastAsia" w:ascii="仿宋" w:hAnsi="仿宋" w:eastAsia="仿宋" w:cs="仿宋"/>
          <w:b/>
          <w:bCs/>
          <w:sz w:val="24"/>
          <w:szCs w:val="24"/>
          <w:lang w:val="en-US" w:eastAsia="zh-CN"/>
        </w:rPr>
        <w:t>及证书颁发</w:t>
      </w:r>
    </w:p>
    <w:p>
      <w:pPr>
        <w:spacing w:line="360" w:lineRule="auto"/>
        <w:rPr>
          <w:rFonts w:hint="eastAsia" w:ascii="仿宋" w:hAnsi="仿宋" w:eastAsia="仿宋" w:cs="仿宋"/>
          <w:sz w:val="24"/>
          <w:szCs w:val="24"/>
        </w:rPr>
      </w:pPr>
      <w:r>
        <w:rPr>
          <w:rFonts w:hint="eastAsia" w:ascii="仿宋" w:hAnsi="仿宋" w:eastAsia="仿宋" w:cs="仿宋"/>
          <w:b/>
          <w:bCs/>
          <w:sz w:val="24"/>
          <w:szCs w:val="24"/>
        </w:rPr>
        <w:t>1、考试时间：</w:t>
      </w:r>
      <w:r>
        <w:rPr>
          <w:rFonts w:hint="eastAsia" w:ascii="仿宋" w:hAnsi="仿宋" w:eastAsia="仿宋" w:cs="仿宋"/>
          <w:sz w:val="24"/>
          <w:szCs w:val="24"/>
        </w:rPr>
        <w:t>每年1月、3月、5月、7月、9月、11月第三周周六，考试逢节假日顺延，考试报名时间于考前一周截止。</w:t>
      </w:r>
    </w:p>
    <w:p>
      <w:pPr>
        <w:spacing w:line="360" w:lineRule="auto"/>
        <w:rPr>
          <w:rFonts w:hint="eastAsia" w:ascii="仿宋" w:hAnsi="仿宋" w:eastAsia="仿宋" w:cs="仿宋"/>
          <w:sz w:val="24"/>
          <w:szCs w:val="24"/>
        </w:rPr>
      </w:pPr>
      <w:r>
        <w:rPr>
          <w:rFonts w:hint="eastAsia" w:ascii="仿宋" w:hAnsi="仿宋" w:eastAsia="仿宋" w:cs="仿宋"/>
          <w:b/>
          <w:bCs/>
          <w:sz w:val="24"/>
          <w:szCs w:val="24"/>
        </w:rPr>
        <w:t>2、考核网站：</w:t>
      </w:r>
      <w:r>
        <w:rPr>
          <w:rFonts w:hint="eastAsia" w:ascii="仿宋" w:hAnsi="仿宋" w:eastAsia="仿宋" w:cs="仿宋"/>
          <w:sz w:val="24"/>
          <w:szCs w:val="24"/>
        </w:rPr>
        <w:t>考前开放</w:t>
      </w:r>
    </w:p>
    <w:p>
      <w:pPr>
        <w:spacing w:line="360" w:lineRule="auto"/>
        <w:rPr>
          <w:rFonts w:hint="eastAsia" w:ascii="仿宋" w:hAnsi="仿宋" w:eastAsia="仿宋" w:cs="仿宋"/>
          <w:sz w:val="24"/>
          <w:szCs w:val="24"/>
        </w:rPr>
      </w:pPr>
      <w:r>
        <w:rPr>
          <w:rFonts w:hint="eastAsia" w:ascii="仿宋" w:hAnsi="仿宋" w:eastAsia="仿宋" w:cs="仿宋"/>
          <w:b/>
          <w:bCs/>
          <w:sz w:val="24"/>
          <w:szCs w:val="24"/>
        </w:rPr>
        <w:t>3、考核形式</w:t>
      </w:r>
      <w:r>
        <w:rPr>
          <w:rFonts w:hint="eastAsia" w:ascii="仿宋" w:hAnsi="仿宋" w:eastAsia="仿宋" w:cs="仿宋"/>
          <w:sz w:val="24"/>
          <w:szCs w:val="24"/>
        </w:rPr>
        <w:t>：受疫情影响，目前采取线上考核方式，采 用计算机考核统进行统一管理，在线完成考生信息填报、考 核、电子试卷管理等工作。</w:t>
      </w:r>
    </w:p>
    <w:p>
      <w:pPr>
        <w:spacing w:line="360" w:lineRule="auto"/>
        <w:rPr>
          <w:rFonts w:hint="eastAsia" w:ascii="仿宋" w:hAnsi="仿宋" w:eastAsia="仿宋" w:cs="仿宋"/>
          <w:sz w:val="24"/>
          <w:szCs w:val="24"/>
        </w:rPr>
      </w:pPr>
      <w:r>
        <w:rPr>
          <w:rFonts w:hint="eastAsia" w:ascii="仿宋" w:hAnsi="仿宋" w:eastAsia="仿宋" w:cs="仿宋"/>
          <w:b/>
          <w:bCs/>
          <w:sz w:val="24"/>
          <w:szCs w:val="24"/>
        </w:rPr>
        <w:t>4、考核题型及分值：</w:t>
      </w:r>
      <w:r>
        <w:rPr>
          <w:rFonts w:hint="eastAsia" w:ascii="仿宋" w:hAnsi="仿宋" w:eastAsia="仿宋" w:cs="仿宋"/>
          <w:sz w:val="24"/>
          <w:szCs w:val="24"/>
        </w:rPr>
        <w:t>科目总分100 分，60分合格。题型为： 单选题、多</w:t>
      </w:r>
      <w:r>
        <w:rPr>
          <w:rFonts w:hint="eastAsia" w:ascii="仿宋" w:hAnsi="仿宋" w:eastAsia="仿宋" w:cs="仿宋"/>
          <w:sz w:val="24"/>
          <w:szCs w:val="24"/>
          <w:lang w:val="en-US" w:eastAsia="zh-CN"/>
        </w:rPr>
        <w:t>选</w:t>
      </w:r>
      <w:r>
        <w:rPr>
          <w:rFonts w:hint="eastAsia" w:ascii="仿宋" w:hAnsi="仿宋" w:eastAsia="仿宋" w:cs="仿宋"/>
          <w:sz w:val="24"/>
          <w:szCs w:val="24"/>
        </w:rPr>
        <w:t>题、</w:t>
      </w:r>
    </w:p>
    <w:p>
      <w:pPr>
        <w:spacing w:line="360" w:lineRule="auto"/>
        <w:rPr>
          <w:rFonts w:hint="eastAsia" w:ascii="仿宋" w:hAnsi="仿宋" w:eastAsia="仿宋" w:cs="仿宋"/>
          <w:sz w:val="24"/>
          <w:szCs w:val="24"/>
        </w:rPr>
      </w:pPr>
      <w:r>
        <w:rPr>
          <w:rFonts w:hint="eastAsia" w:ascii="仿宋" w:hAnsi="仿宋" w:eastAsia="仿宋" w:cs="仿宋"/>
          <w:sz w:val="24"/>
          <w:szCs w:val="24"/>
        </w:rPr>
        <w:t>简答题。</w:t>
      </w: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5、考试时长：</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碳排放管理专业技能综合考试：上午： 9: 00 至 11: 00 </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碳资产管理专业技能综合考试：上午： 9: 00 至 11: 00 </w:t>
      </w:r>
    </w:p>
    <w:p>
      <w:pPr>
        <w:spacing w:line="360" w:lineRule="auto"/>
        <w:rPr>
          <w:rFonts w:hint="eastAsia" w:ascii="仿宋" w:hAnsi="仿宋" w:eastAsia="仿宋" w:cs="仿宋"/>
          <w:sz w:val="24"/>
          <w:szCs w:val="24"/>
        </w:rPr>
      </w:pPr>
      <w:r>
        <w:rPr>
          <w:rFonts w:hint="eastAsia" w:ascii="仿宋" w:hAnsi="仿宋" w:eastAsia="仿宋" w:cs="仿宋"/>
          <w:sz w:val="24"/>
          <w:szCs w:val="24"/>
        </w:rPr>
        <w:t>碳交易专业技能综合考试：上午： 9: 00 至 11: 00</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碳排放监测专业技能综合考试：上午： 9: 00 至 11: 00 </w:t>
      </w:r>
    </w:p>
    <w:p>
      <w:pPr>
        <w:spacing w:line="360" w:lineRule="auto"/>
        <w:rPr>
          <w:rFonts w:hint="eastAsia" w:ascii="仿宋" w:hAnsi="仿宋" w:eastAsia="仿宋" w:cs="仿宋"/>
          <w:sz w:val="24"/>
          <w:szCs w:val="24"/>
        </w:rPr>
      </w:pPr>
      <w:r>
        <w:rPr>
          <w:rFonts w:hint="eastAsia" w:ascii="仿宋" w:hAnsi="仿宋" w:eastAsia="仿宋" w:cs="仿宋"/>
          <w:sz w:val="24"/>
          <w:szCs w:val="24"/>
        </w:rPr>
        <w:t>碳排放咨询专业技能综合考试：上午： 9: 00 至 11: 00</w:t>
      </w:r>
    </w:p>
    <w:p>
      <w:pPr>
        <w:spacing w:line="360" w:lineRule="auto"/>
        <w:rPr>
          <w:rFonts w:hint="eastAsia" w:ascii="仿宋" w:hAnsi="仿宋" w:eastAsia="仿宋" w:cs="仿宋"/>
          <w:sz w:val="24"/>
          <w:szCs w:val="24"/>
        </w:rPr>
      </w:pPr>
      <w:r>
        <w:rPr>
          <w:rFonts w:hint="eastAsia" w:ascii="仿宋" w:hAnsi="仿宋" w:eastAsia="仿宋" w:cs="仿宋"/>
          <w:sz w:val="24"/>
          <w:szCs w:val="24"/>
        </w:rPr>
        <w:t xml:space="preserve">碳汇计量评估专业技能综合考试：上午： 9: 00 至11: 00 </w:t>
      </w:r>
    </w:p>
    <w:p>
      <w:pPr>
        <w:spacing w:line="360" w:lineRule="auto"/>
        <w:rPr>
          <w:rFonts w:hint="eastAsia" w:ascii="仿宋" w:hAnsi="仿宋" w:eastAsia="仿宋" w:cs="仿宋"/>
          <w:sz w:val="24"/>
          <w:szCs w:val="24"/>
        </w:rPr>
      </w:pPr>
      <w:r>
        <w:rPr>
          <w:rFonts w:hint="eastAsia" w:ascii="仿宋" w:hAnsi="仿宋" w:eastAsia="仿宋" w:cs="仿宋"/>
          <w:sz w:val="24"/>
          <w:szCs w:val="24"/>
        </w:rPr>
        <w:t>碳排放评估专业技能综合考试：上午： 9: 00至 11: 00</w:t>
      </w:r>
    </w:p>
    <w:p>
      <w:pPr>
        <w:spacing w:line="360" w:lineRule="auto"/>
        <w:rPr>
          <w:rFonts w:hint="eastAsia" w:ascii="仿宋" w:hAnsi="仿宋" w:eastAsia="仿宋" w:cs="仿宋"/>
          <w:sz w:val="24"/>
          <w:szCs w:val="24"/>
        </w:rPr>
      </w:pPr>
      <w:r>
        <w:rPr>
          <w:rFonts w:hint="eastAsia" w:ascii="仿宋" w:hAnsi="仿宋" w:eastAsia="仿宋" w:cs="仿宋"/>
          <w:b/>
          <w:bCs/>
          <w:sz w:val="24"/>
          <w:szCs w:val="24"/>
        </w:rPr>
        <w:t>6、考核流程：</w:t>
      </w:r>
      <w:r>
        <w:rPr>
          <w:rFonts w:hint="eastAsia" w:ascii="仿宋" w:hAnsi="仿宋" w:eastAsia="仿宋" w:cs="仿宋"/>
          <w:sz w:val="24"/>
          <w:szCs w:val="24"/>
        </w:rPr>
        <w:t>考前三天发放准考证号，考前注意事项及 考核网址等信息，学员登录后进行考核。</w:t>
      </w:r>
    </w:p>
    <w:p>
      <w:pPr>
        <w:spacing w:line="360" w:lineRule="auto"/>
        <w:rPr>
          <w:rFonts w:hint="eastAsia" w:ascii="仿宋" w:hAnsi="仿宋" w:eastAsia="仿宋" w:cs="仿宋"/>
          <w:sz w:val="24"/>
          <w:szCs w:val="24"/>
        </w:rPr>
      </w:pPr>
      <w:r>
        <w:rPr>
          <w:rFonts w:hint="eastAsia" w:ascii="仿宋" w:hAnsi="仿宋" w:eastAsia="仿宋" w:cs="仿宋"/>
          <w:sz w:val="24"/>
          <w:szCs w:val="24"/>
        </w:rPr>
        <w:t>7、考核后15 个工作可查成绩。</w:t>
      </w:r>
    </w:p>
    <w:p>
      <w:pPr>
        <w:spacing w:line="360" w:lineRule="auto"/>
        <w:rPr>
          <w:rFonts w:hint="eastAsia" w:ascii="仿宋" w:hAnsi="仿宋" w:eastAsia="仿宋" w:cs="仿宋"/>
          <w:sz w:val="24"/>
          <w:szCs w:val="24"/>
        </w:rPr>
      </w:pPr>
      <w:r>
        <w:rPr>
          <w:rFonts w:hint="eastAsia" w:ascii="仿宋" w:hAnsi="仿宋" w:eastAsia="仿宋" w:cs="仿宋"/>
          <w:sz w:val="24"/>
          <w:szCs w:val="24"/>
        </w:rPr>
        <w:t>8、考核合格后45个工作日</w:t>
      </w:r>
      <w:r>
        <w:rPr>
          <w:rFonts w:hint="eastAsia" w:ascii="仿宋" w:hAnsi="仿宋" w:eastAsia="仿宋" w:cs="仿宋"/>
          <w:sz w:val="24"/>
          <w:szCs w:val="24"/>
          <w:lang w:eastAsia="zh-CN"/>
        </w:rPr>
        <w:t>，</w:t>
      </w:r>
      <w:r>
        <w:rPr>
          <w:rFonts w:hint="eastAsia" w:ascii="仿宋" w:hAnsi="仿宋" w:eastAsia="仿宋" w:cs="仿宋"/>
          <w:sz w:val="24"/>
          <w:szCs w:val="24"/>
        </w:rPr>
        <w:t>由中国节能协会</w:t>
      </w:r>
      <w:r>
        <w:rPr>
          <w:rFonts w:hint="eastAsia" w:ascii="仿宋" w:hAnsi="仿宋" w:eastAsia="仿宋" w:cs="仿宋"/>
          <w:sz w:val="24"/>
          <w:szCs w:val="24"/>
          <w:lang w:val="en-US" w:eastAsia="zh-CN"/>
        </w:rPr>
        <w:t>颁发</w:t>
      </w:r>
      <w:r>
        <w:rPr>
          <w:rFonts w:hint="eastAsia" w:ascii="仿宋" w:hAnsi="仿宋" w:eastAsia="仿宋" w:cs="仿宋"/>
          <w:sz w:val="24"/>
          <w:szCs w:val="24"/>
        </w:rPr>
        <w:t>《综合能源服务专业技能(高)》证书;证书可在中国节能协会查询，证书带有防伪标识，统一编号，专网查询。</w:t>
      </w:r>
    </w:p>
    <w:p>
      <w:pPr>
        <w:spacing w:line="360" w:lineRule="auto"/>
        <w:rPr>
          <w:rFonts w:hint="eastAsia" w:ascii="仿宋" w:hAnsi="仿宋" w:eastAsia="仿宋" w:cs="仿宋"/>
          <w:sz w:val="24"/>
          <w:szCs w:val="24"/>
        </w:rPr>
      </w:pPr>
      <w:r>
        <w:rPr>
          <w:rFonts w:hint="eastAsia" w:ascii="仿宋" w:hAnsi="仿宋" w:eastAsia="仿宋" w:cs="仿宋"/>
          <w:sz w:val="24"/>
          <w:szCs w:val="24"/>
        </w:rPr>
        <w:t>9、考前冲刺押题班：可登录学习系统进行考前冲刺的学习。</w:t>
      </w:r>
    </w:p>
    <w:p>
      <w:pPr>
        <w:spacing w:line="360" w:lineRule="auto"/>
        <w:rPr>
          <w:rFonts w:hint="eastAsia" w:ascii="仿宋" w:hAnsi="仿宋" w:eastAsia="仿宋" w:cs="仿宋"/>
          <w:sz w:val="24"/>
          <w:szCs w:val="24"/>
        </w:rPr>
      </w:pPr>
      <w:r>
        <w:rPr>
          <w:rFonts w:hint="eastAsia" w:ascii="仿宋" w:hAnsi="仿宋" w:eastAsia="仿宋" w:cs="仿宋"/>
          <w:sz w:val="24"/>
          <w:szCs w:val="24"/>
        </w:rPr>
        <w:t>10、关于补考：考核未通过的学员，未通过需缴纳100 元/次的补考费进行补考。</w:t>
      </w: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六、</w:t>
      </w:r>
      <w:r>
        <w:rPr>
          <w:rFonts w:hint="eastAsia" w:ascii="仿宋" w:hAnsi="仿宋" w:eastAsia="仿宋" w:cs="仿宋"/>
          <w:b/>
          <w:bCs/>
          <w:sz w:val="24"/>
          <w:szCs w:val="24"/>
        </w:rPr>
        <w:t>颁证机构</w:t>
      </w:r>
    </w:p>
    <w:p>
      <w:pPr>
        <w:spacing w:line="360" w:lineRule="auto"/>
        <w:ind w:firstLine="240" w:firstLineChars="100"/>
        <w:rPr>
          <w:rFonts w:hint="eastAsia" w:ascii="仿宋" w:hAnsi="仿宋" w:eastAsia="仿宋" w:cs="仿宋"/>
          <w:sz w:val="24"/>
          <w:szCs w:val="24"/>
        </w:rPr>
      </w:pPr>
      <w:r>
        <w:rPr>
          <w:rFonts w:hint="eastAsia" w:ascii="仿宋" w:hAnsi="仿宋" w:eastAsia="仿宋" w:cs="仿宋"/>
          <w:sz w:val="24"/>
          <w:szCs w:val="24"/>
        </w:rPr>
        <w:t>中国节能协会ChinaEnergyConservation Association(英文缩写：CECA)成立于1989年，是经民政 部注册的节能领域的国家一级社团组织。在业务上受国家发 展改革委员会、工业和信息化部等相关部门的指导。业务范 围涉及工业节能、交通节能、建筑节能、公共机构节能、重 点用能单位节能和社会节能等领域。协会主要从事节能政策 研究、标准制定、节能监测、节能技术评估推广及节能领域 的相关培训与咨询等方面工作。</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中国节能协会多次被国家部委评为全国节能先进单位。 2011年，我国政府发布的《中国应对气候变化的政策与行动》 白皮书中，充分肯定了中国节能协会等民间组织在节能减排 工作中发挥的重要作用。2012 年，中国节能协会秘书处被人 社部、国家发改委、环保部、财政部联合评为“十一五”全 国节能先进集体。201</w:t>
      </w:r>
      <w:r>
        <w:rPr>
          <w:rFonts w:hint="eastAsia" w:ascii="仿宋" w:hAnsi="仿宋" w:eastAsia="仿宋" w:cs="仿宋"/>
          <w:sz w:val="24"/>
          <w:szCs w:val="24"/>
          <w:lang w:val="en-US" w:eastAsia="zh-CN"/>
        </w:rPr>
        <w:t>4</w:t>
      </w:r>
      <w:r>
        <w:rPr>
          <w:rFonts w:hint="eastAsia" w:ascii="仿宋" w:hAnsi="仿宋" w:eastAsia="仿宋" w:cs="仿宋"/>
          <w:sz w:val="24"/>
          <w:szCs w:val="24"/>
        </w:rPr>
        <w:t>年5月，中国节能协会被民政部评为 AAAA 级社团组织。</w:t>
      </w: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七、</w:t>
      </w:r>
      <w:r>
        <w:rPr>
          <w:rFonts w:hint="eastAsia" w:ascii="仿宋" w:hAnsi="仿宋" w:eastAsia="仿宋" w:cs="仿宋"/>
          <w:b/>
          <w:bCs/>
          <w:sz w:val="24"/>
          <w:szCs w:val="24"/>
        </w:rPr>
        <w:t>课程和证书价值</w:t>
      </w:r>
    </w:p>
    <w:p>
      <w:pPr>
        <w:spacing w:line="360" w:lineRule="auto"/>
        <w:rPr>
          <w:rFonts w:hint="eastAsia" w:ascii="仿宋" w:hAnsi="仿宋" w:eastAsia="仿宋" w:cs="仿宋"/>
          <w:sz w:val="24"/>
          <w:szCs w:val="24"/>
        </w:rPr>
      </w:pPr>
      <w:r>
        <w:rPr>
          <w:rFonts w:hint="eastAsia" w:ascii="仿宋" w:hAnsi="仿宋" w:eastAsia="仿宋" w:cs="仿宋"/>
          <w:sz w:val="24"/>
          <w:szCs w:val="24"/>
        </w:rPr>
        <w:t>1、帮助</w:t>
      </w:r>
      <w:r>
        <w:rPr>
          <w:rFonts w:hint="eastAsia" w:ascii="仿宋" w:hAnsi="仿宋" w:eastAsia="仿宋" w:cs="仿宋"/>
          <w:sz w:val="24"/>
          <w:szCs w:val="24"/>
          <w:lang w:val="en-US" w:eastAsia="zh-CN"/>
        </w:rPr>
        <w:t>碳</w:t>
      </w:r>
      <w:r>
        <w:rPr>
          <w:rFonts w:hint="eastAsia" w:ascii="仿宋" w:hAnsi="仿宋" w:eastAsia="仿宋" w:cs="仿宋"/>
          <w:sz w:val="24"/>
          <w:szCs w:val="24"/>
        </w:rPr>
        <w:t>减排相关各方学习最新政策及行业标准， 提升业务水平;</w:t>
      </w:r>
    </w:p>
    <w:p>
      <w:pPr>
        <w:spacing w:line="360" w:lineRule="auto"/>
        <w:rPr>
          <w:rFonts w:hint="eastAsia" w:ascii="仿宋" w:hAnsi="仿宋" w:eastAsia="仿宋" w:cs="仿宋"/>
          <w:sz w:val="24"/>
          <w:szCs w:val="24"/>
        </w:rPr>
      </w:pPr>
      <w:r>
        <w:rPr>
          <w:rFonts w:hint="eastAsia" w:ascii="仿宋" w:hAnsi="仿宋" w:eastAsia="仿宋" w:cs="仿宋"/>
          <w:sz w:val="24"/>
          <w:szCs w:val="24"/>
        </w:rPr>
        <w:t>2、填补</w:t>
      </w:r>
      <w:r>
        <w:rPr>
          <w:rFonts w:hint="eastAsia" w:ascii="仿宋" w:hAnsi="仿宋" w:eastAsia="仿宋" w:cs="仿宋"/>
          <w:sz w:val="24"/>
          <w:szCs w:val="24"/>
          <w:lang w:val="en-US" w:eastAsia="zh-CN"/>
        </w:rPr>
        <w:t>碳</w:t>
      </w:r>
      <w:r>
        <w:rPr>
          <w:rFonts w:hint="eastAsia" w:ascii="仿宋" w:hAnsi="仿宋" w:eastAsia="仿宋" w:cs="仿宋"/>
          <w:sz w:val="24"/>
          <w:szCs w:val="24"/>
        </w:rPr>
        <w:t>减排咨询从业人员能力考试评价、证书资质缺失的空白;</w:t>
      </w:r>
    </w:p>
    <w:p>
      <w:pPr>
        <w:spacing w:line="360" w:lineRule="auto"/>
        <w:rPr>
          <w:rFonts w:hint="eastAsia" w:ascii="仿宋" w:hAnsi="仿宋" w:eastAsia="仿宋" w:cs="仿宋"/>
          <w:sz w:val="24"/>
          <w:szCs w:val="24"/>
        </w:rPr>
      </w:pPr>
      <w:r>
        <w:rPr>
          <w:rFonts w:hint="eastAsia" w:ascii="仿宋" w:hAnsi="仿宋" w:eastAsia="仿宋" w:cs="仿宋"/>
          <w:sz w:val="24"/>
          <w:szCs w:val="24"/>
        </w:rPr>
        <w:t>3、加强行业自律有效抓手，为行业主管部门出台政策、做好监管提供依据;</w:t>
      </w:r>
    </w:p>
    <w:p>
      <w:pPr>
        <w:spacing w:line="360" w:lineRule="auto"/>
        <w:rPr>
          <w:rFonts w:hint="eastAsia" w:ascii="仿宋" w:hAnsi="仿宋" w:eastAsia="仿宋" w:cs="仿宋"/>
          <w:sz w:val="24"/>
          <w:szCs w:val="24"/>
        </w:rPr>
      </w:pPr>
      <w:r>
        <w:rPr>
          <w:rFonts w:hint="eastAsia" w:ascii="仿宋" w:hAnsi="仿宋" w:eastAsia="仿宋" w:cs="仿宋"/>
          <w:sz w:val="24"/>
          <w:szCs w:val="24"/>
        </w:rPr>
        <w:t>4、从实际能力和继续学习情况两个维度对持证人进行跟踪评价，而非“一证在手，终生受益”,以此要求持证人不断加强学习，提高</w:t>
      </w:r>
      <w:r>
        <w:rPr>
          <w:rFonts w:hint="eastAsia" w:ascii="仿宋" w:hAnsi="仿宋" w:eastAsia="仿宋" w:cs="仿宋"/>
          <w:sz w:val="24"/>
          <w:szCs w:val="24"/>
          <w:lang w:val="en-US" w:eastAsia="zh-CN"/>
        </w:rPr>
        <w:t>碳</w:t>
      </w:r>
      <w:r>
        <w:rPr>
          <w:rFonts w:hint="eastAsia" w:ascii="仿宋" w:hAnsi="仿宋" w:eastAsia="仿宋" w:cs="仿宋"/>
          <w:sz w:val="24"/>
          <w:szCs w:val="24"/>
        </w:rPr>
        <w:t>减排政策学习、理论水平和操作技能。</w:t>
      </w:r>
    </w:p>
    <w:p>
      <w:pPr>
        <w:spacing w:line="360" w:lineRule="auto"/>
        <w:rPr>
          <w:rFonts w:hint="eastAsia" w:ascii="仿宋" w:hAnsi="仿宋" w:eastAsia="仿宋" w:cs="仿宋"/>
          <w:sz w:val="24"/>
          <w:szCs w:val="24"/>
        </w:rPr>
      </w:pPr>
      <w:r>
        <w:rPr>
          <w:rFonts w:hint="eastAsia" w:ascii="仿宋" w:hAnsi="仿宋" w:eastAsia="仿宋" w:cs="仿宋"/>
          <w:b/>
          <w:bCs/>
          <w:sz w:val="24"/>
          <w:szCs w:val="24"/>
          <w:lang w:val="en-US" w:eastAsia="zh-CN"/>
        </w:rPr>
        <w:t>八、</w:t>
      </w:r>
      <w:r>
        <w:rPr>
          <w:rFonts w:hint="eastAsia" w:ascii="仿宋" w:hAnsi="仿宋" w:eastAsia="仿宋" w:cs="仿宋"/>
          <w:b/>
          <w:bCs/>
          <w:sz w:val="24"/>
          <w:szCs w:val="24"/>
        </w:rPr>
        <w:t>课程费用及相关事项：</w:t>
      </w:r>
    </w:p>
    <w:p>
      <w:pPr>
        <w:spacing w:line="360" w:lineRule="auto"/>
        <w:ind w:firstLine="480" w:firstLineChars="200"/>
        <w:rPr>
          <w:rFonts w:hint="eastAsia" w:ascii="仿宋" w:hAnsi="仿宋" w:eastAsia="仿宋" w:cs="仿宋"/>
          <w:b/>
          <w:bCs/>
          <w:i w:val="0"/>
          <w:caps w:val="0"/>
          <w:color w:val="333333"/>
          <w:spacing w:val="7"/>
          <w:sz w:val="24"/>
          <w:szCs w:val="24"/>
          <w:shd w:val="clear" w:color="auto" w:fill="FFFFFF"/>
          <w:lang w:val="en-US" w:eastAsia="zh-CN"/>
        </w:rPr>
      </w:pPr>
      <w:r>
        <w:rPr>
          <w:rFonts w:hint="eastAsia" w:ascii="仿宋" w:hAnsi="仿宋" w:eastAsia="仿宋" w:cs="仿宋"/>
          <w:color w:val="auto"/>
          <w:sz w:val="24"/>
          <w:szCs w:val="24"/>
          <w:lang w:val="en-US" w:eastAsia="zh-CN"/>
        </w:rPr>
        <w:t>高级碳减排领域专业技能岗位人才</w:t>
      </w:r>
      <w:r>
        <w:rPr>
          <w:rFonts w:hint="eastAsia" w:ascii="仿宋" w:hAnsi="仿宋" w:eastAsia="仿宋" w:cs="仿宋"/>
          <w:color w:val="auto"/>
          <w:sz w:val="24"/>
          <w:szCs w:val="24"/>
        </w:rPr>
        <w:t>培训费</w:t>
      </w:r>
      <w:r>
        <w:rPr>
          <w:rFonts w:hint="eastAsia" w:ascii="仿宋" w:hAnsi="仿宋" w:eastAsia="仿宋" w:cs="仿宋"/>
          <w:color w:val="auto"/>
          <w:sz w:val="24"/>
          <w:szCs w:val="24"/>
          <w:lang w:eastAsia="zh-CN"/>
        </w:rPr>
        <w:t>，官网</w:t>
      </w:r>
      <w:r>
        <w:rPr>
          <w:rFonts w:hint="eastAsia" w:ascii="仿宋" w:hAnsi="仿宋" w:eastAsia="仿宋" w:cs="仿宋"/>
          <w:color w:val="auto"/>
          <w:sz w:val="24"/>
          <w:szCs w:val="24"/>
        </w:rPr>
        <w:t>4500</w:t>
      </w:r>
      <w:r>
        <w:rPr>
          <w:rFonts w:hint="eastAsia" w:ascii="仿宋" w:hAnsi="仿宋" w:eastAsia="仿宋" w:cs="仿宋"/>
          <w:color w:val="auto"/>
          <w:sz w:val="24"/>
          <w:szCs w:val="24"/>
          <w:lang w:val="en-US" w:eastAsia="zh-CN"/>
        </w:rPr>
        <w:t>元/人，协会统一报名3980/人。</w:t>
      </w:r>
      <w:r>
        <w:rPr>
          <w:rFonts w:hint="eastAsia" w:ascii="仿宋" w:hAnsi="仿宋" w:eastAsia="仿宋" w:cs="仿宋"/>
          <w:sz w:val="24"/>
          <w:szCs w:val="24"/>
        </w:rPr>
        <w:t>费用包含： 课程费、考前培训费、考核费用、资料费、评定费用、证书制作费、组织管理等费用。</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b/>
          <w:bCs/>
          <w:i w:val="0"/>
          <w:caps w:val="0"/>
          <w:color w:val="333333"/>
          <w:spacing w:val="7"/>
          <w:sz w:val="24"/>
          <w:szCs w:val="24"/>
          <w:shd w:val="clear" w:color="auto" w:fill="FFFFFF"/>
          <w:lang w:val="en-US" w:eastAsia="zh-CN"/>
        </w:rPr>
        <w:t>九、联系咨询：</w:t>
      </w:r>
      <w:r>
        <w:rPr>
          <w:rFonts w:hint="eastAsia" w:ascii="仿宋" w:hAnsi="仿宋" w:eastAsia="仿宋" w:cs="仿宋"/>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480" w:firstLineChars="20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山西省铸造行业协会</w:t>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联系人王广业 13703594116</w:t>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firstLine="480" w:firstLineChars="200"/>
        <w:jc w:val="left"/>
        <w:textAlignment w:val="auto"/>
        <w:outlineLvl w:val="9"/>
        <w:rPr>
          <w:rFonts w:hint="eastAsia"/>
          <w:lang w:val="en-US" w:eastAsia="zh-CN"/>
        </w:rPr>
      </w:pPr>
      <w:r>
        <w:rPr>
          <w:rFonts w:hint="eastAsia" w:ascii="仿宋" w:hAnsi="仿宋" w:eastAsia="仿宋" w:cs="仿宋"/>
          <w:sz w:val="24"/>
          <w:szCs w:val="24"/>
          <w:lang w:val="en-US" w:eastAsia="zh-CN"/>
        </w:rPr>
        <w:t>中国节能协会         联系人祝晓伟 13911582705</w:t>
      </w:r>
      <w:r>
        <w:rPr>
          <w:rFonts w:hint="eastAsia" w:ascii="仿宋" w:hAnsi="仿宋" w:eastAsia="仿宋" w:cs="仿宋"/>
          <w:sz w:val="24"/>
          <w:szCs w:val="32"/>
        </w:rPr>
        <w:t xml:space="preserve">                                            </w:t>
      </w:r>
    </w:p>
    <w:p>
      <w:pPr>
        <w:spacing w:line="480" w:lineRule="exact"/>
        <w:rPr>
          <w:rFonts w:hint="eastAsia" w:ascii="仿宋" w:hAnsi="仿宋" w:eastAsia="仿宋" w:cs="仿宋"/>
          <w:b/>
          <w:bCs/>
          <w:color w:val="0000FF"/>
          <w:sz w:val="28"/>
          <w:szCs w:val="28"/>
          <w:lang w:val="en-US" w:eastAsia="zh-CN"/>
        </w:rPr>
      </w:pPr>
      <w:r>
        <w:rPr>
          <w:rFonts w:hint="eastAsia" w:ascii="仿宋" w:hAnsi="仿宋" w:eastAsia="仿宋" w:cs="仿宋"/>
          <w:b/>
          <w:bCs/>
          <w:color w:val="0000FF"/>
          <w:sz w:val="24"/>
          <w:szCs w:val="24"/>
          <w:lang w:val="en-US" w:eastAsia="zh-CN"/>
        </w:rPr>
        <w:t>2.3.3  关于开展两化融合管理体系分级贯标工作的通知</w:t>
      </w:r>
    </w:p>
    <w:p>
      <w:pPr>
        <w:spacing w:line="36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各理事、会员和相关单位：</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 xml:space="preserve">为帮助我省铸造企业加快“两化融合”步伐，提升企业两化融合水平、实现企业管理信息化和精益生产融合、实现业务流程和信息系统融合、实现产品研发和信息技术融合，争取省市两化融合类奖励政策，助推企业和全行业高质量转型发展，山西省铸协拟与第三方贯标咨询公司合作，开展两化融合管理体系分级贯标工作，希望各单位根据企业的两化融合实际水平、踊跃报名参与。具体事项如下： </w:t>
      </w:r>
    </w:p>
    <w:p>
      <w:pPr>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一．活动背景与意义</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信息化与工业化的融合发展简称“两化融合”。两化融合管理体系是企业系统地建立、实施、保存和改进两化融合过程管理机制的通用方法，可以帮助企业依据实现自身战略目标所提出的要求，规范两化融合相关过程，并使其持续受控，以形成获取可持续竞争优势所要求的信息化环境下的新型能力，两化融合管理体系已成为国家和地方省市推进信息技术和实体经济深度融合的重要抓手，其评定结果被作为评判企业综合发展潜力的重要依据。</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两化融合管理体系贯标，是指组织贯彻实施《信息化和工业化融合管理体系要求》（GBT 23001-2017）、《信息化和工业化融合管理体系分级要求》（GBT 23006-2020）的过程，组织应按照标准的导向、原则和要求，系统地建立、实施、保持和改进组织的两化融合管理体系，规范两化融合过程并使其持续受控，从而识别和打造信息化环境下的新型能力，不断获取与战略相匹配的差异化可持续竞争优势，提高组织的经济和社会效益，截止到2023年6月份、全国已开展两化融合分级贯标企业总数为63633家、通过分级评定为32229家，经初步测算，通过评定企业的运营成本平均降低8.3%，经营利润平均提高10.5%。</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通过两化融合管理体系证书的意义：帮助企业打造信息化环境下的新型能力、诊断出企业信息化的现状，需要改进的问题和方向、推动企业的管理的提升和改善、辅助企业转型升级、增强企业的市场竞争力、帮助企业有效规避风险、在企业招投标、银行授信、技术类项目申报都可以作为加分项。</w:t>
      </w:r>
    </w:p>
    <w:p>
      <w:pPr>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二．贯标的程序</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1.准备开展贯标的单位填写两化融合分级贯标调查表（附件1）、填写完成通过邮件发送到协会办公邮箱；</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2.山西铸造协会联合第三方贯标咨询机构根据调查表填写内容进行贯标分级判定工作；</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3.对满足要求成员单位在在第三方贯标机构指导下进行分级贯标过程或自主开展贯标工作。贯标工作内容：贯标启动、现状调研及诊断、管理体系策划、文件编写及发布、体系试运行、新型能力打造、内部审核和管理评审阶段工作；分级评定申请；国家评定机构完成体系文件审核、现场审核等分级评定服务；获得两化融合管理体系评定证书。</w:t>
      </w:r>
    </w:p>
    <w:p>
      <w:pPr>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三．政府奖励政策与要求</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1.奖励政策：山西省政府办公厅2021年11月11日印发的《山西省技术改造专项资金使用办法》明确要求对两化融合、企业上云、软件等信息化类项目给予奖励、奖励额度按项目类别确定、各地市出台具体奖励办法：运城市（30万）、临汾市（30-60万）太原、晋中市最高奖励50万、具体政策查看各地市工信局出台的奖励文件。</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2.奖励条件：1）具有独立法人资格的规模以上工业企业；2）列入“信用中国（山西）”网站失信黑名单或“国家企业信用信息公示系统”严重违法失信的企业名单、无法申报奖励。</w:t>
      </w:r>
    </w:p>
    <w:p>
      <w:pPr>
        <w:spacing w:line="36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 xml:space="preserve">四．联系方式   </w:t>
      </w:r>
      <w:r>
        <w:rPr>
          <w:rFonts w:hint="eastAsia" w:ascii="仿宋" w:hAnsi="仿宋" w:eastAsia="仿宋" w:cs="仿宋"/>
          <w:b w:val="0"/>
          <w:bCs w:val="0"/>
          <w:color w:val="auto"/>
          <w:sz w:val="24"/>
          <w:szCs w:val="24"/>
          <w:lang w:val="en-US" w:eastAsia="zh-CN"/>
        </w:rPr>
        <w:t xml:space="preserve">                       </w:t>
      </w:r>
    </w:p>
    <w:p>
      <w:pPr>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有意向者请和协会办公室联系，了解分级贯标的费用和条件并填写填写两化融合分级贯标调查表。</w:t>
      </w:r>
    </w:p>
    <w:p>
      <w:pPr>
        <w:spacing w:line="360" w:lineRule="auto"/>
        <w:rPr>
          <w:rFonts w:hint="eastAsia" w:ascii="仿宋" w:hAnsi="仿宋" w:eastAsia="仿宋" w:cs="仿宋"/>
          <w:b/>
          <w:bCs/>
          <w:color w:val="4472C4" w:themeColor="accent5"/>
          <w:sz w:val="24"/>
          <w:szCs w:val="24"/>
          <w:lang w:val="en-US" w:eastAsia="zh-CN"/>
          <w14:textFill>
            <w14:solidFill>
              <w14:schemeClr w14:val="accent5"/>
            </w14:solidFill>
          </w14:textFill>
        </w:rPr>
      </w:pPr>
      <w:r>
        <w:rPr>
          <w:rFonts w:hint="eastAsia" w:ascii="仿宋" w:hAnsi="仿宋" w:eastAsia="仿宋" w:cs="仿宋"/>
          <w:b w:val="0"/>
          <w:bCs w:val="0"/>
          <w:color w:val="auto"/>
          <w:sz w:val="24"/>
          <w:szCs w:val="24"/>
          <w:lang w:val="en-US" w:eastAsia="zh-CN"/>
        </w:rPr>
        <w:t>联系人：王广业 13703594116  郝鹏飞18649311901  张  琪 18612223593</w:t>
      </w:r>
    </w:p>
    <w:p>
      <w:pPr>
        <w:pStyle w:val="31"/>
        <w:spacing w:line="36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0000FF"/>
          <w:sz w:val="24"/>
          <w:szCs w:val="24"/>
          <w:lang w:val="en-US" w:eastAsia="zh-CN"/>
        </w:rPr>
        <w:t xml:space="preserve">2.3.4  关于“光伏发电绿色项目”推广的通知  </w:t>
      </w:r>
      <w:r>
        <w:rPr>
          <w:rFonts w:hint="eastAsia" w:ascii="仿宋" w:hAnsi="仿宋" w:eastAsia="仿宋" w:cs="仿宋"/>
          <w:b/>
          <w:bCs/>
          <w:color w:val="4472C4" w:themeColor="accent5"/>
          <w:sz w:val="24"/>
          <w:szCs w:val="24"/>
          <w:lang w:val="en-US" w:eastAsia="zh-CN"/>
          <w14:textFill>
            <w14:solidFill>
              <w14:schemeClr w14:val="accent5"/>
            </w14:solidFill>
          </w14:textFill>
        </w:rPr>
        <w:t xml:space="preserve"> </w:t>
      </w:r>
      <w:r>
        <w:rPr>
          <w:rFonts w:hint="eastAsia" w:ascii="仿宋" w:hAnsi="仿宋" w:eastAsia="仿宋" w:cs="仿宋"/>
          <w:b w:val="0"/>
          <w:bCs w:val="0"/>
          <w:color w:val="auto"/>
          <w:sz w:val="24"/>
          <w:szCs w:val="24"/>
          <w:lang w:val="en-US" w:eastAsia="zh-CN"/>
        </w:rPr>
        <w:t xml:space="preserve">                      </w:t>
      </w:r>
    </w:p>
    <w:p>
      <w:pPr>
        <w:pStyle w:val="31"/>
        <w:spacing w:line="36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 xml:space="preserve">各有关单位：     </w:t>
      </w:r>
    </w:p>
    <w:p>
      <w:pPr>
        <w:pStyle w:val="31"/>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随着“碳达峰、碳中和”日益成为新的全球政治认同，推进能源可持续发展已是大势所趋。我国正在不断践行 “30·60”双碳目标，加快绿色低碳发展转型。积极响应国家战略，持续优化产品组合，在锂电+光伏两大新能源赛道持续发力，助力国家绿色发展的同时，积极融入全球碳中和的浪潮中。</w:t>
      </w:r>
    </w:p>
    <w:p>
      <w:pPr>
        <w:pStyle w:val="31"/>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山西省铸造行业协会将与天合光能股份有限公司合作，在山西省铸造行业推广光伏发电绿色项目，天合光能股份有限公司（股票简称：天合光能；股票代码：688599）创立于1997年，是全球领先的光伏智慧能源整体解决方案提供商，致力于成为全球智慧能源的引领者。</w:t>
      </w:r>
    </w:p>
    <w:p>
      <w:pPr>
        <w:pStyle w:val="31"/>
        <w:spacing w:line="360" w:lineRule="auto"/>
        <w:rPr>
          <w:rFonts w:hint="eastAsia" w:ascii="仿宋" w:hAnsi="仿宋" w:eastAsia="仿宋" w:cs="仿宋"/>
          <w:b/>
          <w:bCs/>
          <w:color w:val="4472C4" w:themeColor="accent5"/>
          <w:sz w:val="24"/>
          <w:szCs w:val="24"/>
          <w:lang w:val="en-US" w:eastAsia="zh-CN"/>
          <w14:textFill>
            <w14:solidFill>
              <w14:schemeClr w14:val="accent5"/>
            </w14:solidFill>
          </w14:textFill>
        </w:rPr>
      </w:pPr>
      <w:r>
        <w:rPr>
          <w:rFonts w:hint="eastAsia" w:ascii="仿宋" w:hAnsi="仿宋" w:eastAsia="仿宋" w:cs="仿宋"/>
          <w:b w:val="0"/>
          <w:bCs w:val="0"/>
          <w:color w:val="auto"/>
          <w:sz w:val="24"/>
          <w:szCs w:val="24"/>
          <w:lang w:val="en-US" w:eastAsia="zh-CN"/>
        </w:rPr>
        <w:t>有意向的请联系协会工作人员，郝鹏飞（18649311901） 王广业（13703594116）</w:t>
      </w:r>
    </w:p>
    <w:p>
      <w:pPr>
        <w:pStyle w:val="31"/>
        <w:spacing w:line="360" w:lineRule="auto"/>
        <w:rPr>
          <w:rFonts w:hint="eastAsia" w:ascii="仿宋" w:hAnsi="仿宋" w:eastAsia="仿宋" w:cs="仿宋"/>
          <w:b/>
          <w:bCs/>
          <w:color w:val="0000FF"/>
          <w:sz w:val="24"/>
          <w:szCs w:val="24"/>
          <w:lang w:val="en-US" w:eastAsia="zh-CN"/>
        </w:rPr>
      </w:pPr>
      <w:r>
        <w:rPr>
          <w:rFonts w:hint="eastAsia" w:ascii="仿宋" w:hAnsi="仿宋" w:eastAsia="仿宋" w:cs="仿宋"/>
          <w:b/>
          <w:bCs/>
          <w:color w:val="0000FF"/>
          <w:sz w:val="24"/>
          <w:szCs w:val="24"/>
          <w:lang w:val="en-US" w:eastAsia="zh-CN"/>
        </w:rPr>
        <w:t>2.3.5  关于征集2024年团体标准项目的通知</w:t>
      </w:r>
    </w:p>
    <w:p>
      <w:pPr>
        <w:pStyle w:val="31"/>
        <w:spacing w:line="36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全省各铸造企业：</w:t>
      </w:r>
    </w:p>
    <w:p>
      <w:pPr>
        <w:pStyle w:val="31"/>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为认真贯彻中共中央、国务院印发的《国家标准化发展纲要》和《山西省“十四五”14个战略性新兴产业规划》的目标要求,按照《山西省铸造行业协会标准化工作委员会工作计划》,现将征集团体标准项目的有关事项通知如下：</w:t>
      </w:r>
    </w:p>
    <w:p>
      <w:pPr>
        <w:pStyle w:val="31"/>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一、申报原则</w:t>
      </w:r>
    </w:p>
    <w:p>
      <w:pPr>
        <w:pStyle w:val="31"/>
        <w:spacing w:line="360" w:lineRule="auto"/>
        <w:ind w:firstLine="240" w:firstLineChars="1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1、需求引领。要紧紧围绕企业发展和市场需求，市场是资源配置的主要要素，标准是规范市场的“硬约束”。</w:t>
      </w:r>
    </w:p>
    <w:p>
      <w:pPr>
        <w:pStyle w:val="31"/>
        <w:spacing w:line="360" w:lineRule="auto"/>
        <w:ind w:firstLine="240" w:firstLineChars="1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2、创新驱动。要聚力科技前沿，助攻新技术创新，让标准成为高技术的“助攻手”，让技术成为企业发展的“硬支撑”。</w:t>
      </w:r>
    </w:p>
    <w:p>
      <w:pPr>
        <w:pStyle w:val="31"/>
        <w:spacing w:line="360" w:lineRule="auto"/>
        <w:ind w:firstLine="240" w:firstLineChars="1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3、聚焦新动能。要聚焦新兴动能，新产业、新材料，让标准成为激发新兴产业发展的“助推器”，高质量发展的“助攻手”。</w:t>
      </w:r>
    </w:p>
    <w:p>
      <w:pPr>
        <w:pStyle w:val="31"/>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二、申报重点与方向</w:t>
      </w:r>
    </w:p>
    <w:p>
      <w:pPr>
        <w:pStyle w:val="31"/>
        <w:spacing w:line="360" w:lineRule="auto"/>
        <w:ind w:firstLine="240" w:firstLineChars="1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1、以“双碳”目标为引领，推动铸造行业节能、减排、降耗，以铸件、工艺、装备为标的制定单位能耗限值标准项目。</w:t>
      </w:r>
    </w:p>
    <w:p>
      <w:pPr>
        <w:pStyle w:val="31"/>
        <w:spacing w:line="360" w:lineRule="auto"/>
        <w:ind w:firstLine="240" w:firstLineChars="1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2、以“绿色铸造”为主题，围绕生态环保、清洁生产，制定新工艺新方法的工艺标准项目。</w:t>
      </w:r>
    </w:p>
    <w:p>
      <w:pPr>
        <w:pStyle w:val="31"/>
        <w:spacing w:line="360" w:lineRule="auto"/>
        <w:ind w:firstLine="240" w:firstLineChars="1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3、以促进铸造企业结构调整和转型升级为重点，突出新产品、新能源、新材料、铸造设备制造智能化、铸造智能工厂评价要求标准项目。</w:t>
      </w:r>
    </w:p>
    <w:p>
      <w:pPr>
        <w:pStyle w:val="31"/>
        <w:spacing w:line="360" w:lineRule="auto"/>
        <w:ind w:firstLine="240" w:firstLineChars="1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4、以高质量推进工业服务业产业为目标，制定产品检测、厂区物流配送、生产经营性服务、铸造工艺全流程虚拟设计、铸造工艺三维设计、3D打印砂型质量验收等标准项目。</w:t>
      </w:r>
    </w:p>
    <w:p>
      <w:pPr>
        <w:pStyle w:val="31"/>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三、填报要求</w:t>
      </w:r>
    </w:p>
    <w:p>
      <w:pPr>
        <w:pStyle w:val="31"/>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申报2024年团体标准企业， 填写申报表，报送山西省铸造行业协会标准化工作委员会秘书处，需要企业向秘书处索取申报表。</w:t>
      </w:r>
    </w:p>
    <w:p>
      <w:pPr>
        <w:pStyle w:val="31"/>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四、联系：</w:t>
      </w:r>
    </w:p>
    <w:p>
      <w:pPr>
        <w:pStyle w:val="31"/>
        <w:spacing w:line="360" w:lineRule="auto"/>
        <w:ind w:firstLine="480"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 xml:space="preserve">山西省铸造协会标准化工作委员会秘书处 </w:t>
      </w:r>
    </w:p>
    <w:p>
      <w:pPr>
        <w:pStyle w:val="31"/>
        <w:spacing w:line="360" w:lineRule="auto"/>
        <w:ind w:firstLine="480" w:firstLineChars="200"/>
        <w:rPr>
          <w:rFonts w:hint="default"/>
          <w:lang w:val="en-US" w:eastAsia="zh-CN"/>
        </w:rPr>
      </w:pPr>
      <w:r>
        <w:rPr>
          <w:rFonts w:hint="eastAsia" w:ascii="仿宋" w:hAnsi="仿宋" w:eastAsia="仿宋" w:cs="仿宋"/>
          <w:b w:val="0"/>
          <w:bCs w:val="0"/>
          <w:color w:val="auto"/>
          <w:sz w:val="24"/>
          <w:szCs w:val="24"/>
          <w:lang w:val="en-US" w:eastAsia="zh-CN"/>
        </w:rPr>
        <w:t xml:space="preserve">联系人：荣卫平  13603546520    王广业 13703594116                              </w:t>
      </w:r>
    </w:p>
    <w:p>
      <w:pPr>
        <w:pStyle w:val="31"/>
        <w:spacing w:line="360" w:lineRule="auto"/>
        <w:rPr>
          <w:rFonts w:hint="eastAsia" w:ascii="仿宋" w:hAnsi="仿宋" w:eastAsia="仿宋" w:cs="仿宋"/>
          <w:b/>
          <w:bCs/>
          <w:color w:val="0000FF"/>
          <w:sz w:val="24"/>
          <w:szCs w:val="24"/>
          <w:lang w:val="en-US" w:eastAsia="zh-CN"/>
        </w:rPr>
      </w:pPr>
    </w:p>
    <w:p>
      <w:pPr>
        <w:pStyle w:val="31"/>
        <w:spacing w:line="360" w:lineRule="auto"/>
        <w:rPr>
          <w:rFonts w:hint="eastAsia" w:ascii="仿宋" w:hAnsi="仿宋" w:eastAsia="仿宋" w:cs="仿宋"/>
          <w:b/>
          <w:bCs/>
          <w:color w:val="0000FF"/>
          <w:sz w:val="24"/>
          <w:szCs w:val="24"/>
        </w:rPr>
      </w:pPr>
      <w:r>
        <w:rPr>
          <w:rFonts w:hint="eastAsia" w:ascii="仿宋" w:hAnsi="仿宋" w:eastAsia="仿宋" w:cs="仿宋"/>
          <w:b/>
          <w:bCs/>
          <w:color w:val="0000FF"/>
          <w:sz w:val="24"/>
          <w:szCs w:val="24"/>
          <w:lang w:val="en-US" w:eastAsia="zh-CN"/>
        </w:rPr>
        <w:t xml:space="preserve">2.3.6 </w:t>
      </w:r>
      <w:r>
        <w:rPr>
          <w:rFonts w:hint="eastAsia" w:ascii="仿宋" w:hAnsi="仿宋" w:eastAsia="仿宋" w:cs="仿宋"/>
          <w:b/>
          <w:bCs/>
          <w:color w:val="0000FF"/>
          <w:sz w:val="28"/>
          <w:szCs w:val="28"/>
          <w:lang w:val="en-US" w:eastAsia="zh-CN"/>
        </w:rPr>
        <w:t xml:space="preserve"> </w:t>
      </w:r>
      <w:r>
        <w:rPr>
          <w:rFonts w:hint="eastAsia" w:ascii="仿宋" w:hAnsi="仿宋" w:eastAsia="仿宋" w:cs="仿宋"/>
          <w:b/>
          <w:bCs/>
          <w:color w:val="0000FF"/>
          <w:sz w:val="24"/>
          <w:szCs w:val="24"/>
        </w:rPr>
        <w:t>关于征集我省铸造业高质量发展研究论文（调查报告）的通知</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为贯彻国家和省关于制造业高质量发展的决策部署，积极探索传统铸造产业转型升级的新路径，服务全省经济转型和高质量发展，2023年省生产力学会与省铸造行业协会、省工信厅、省社科院（省政府发展研究中心）、高平市政府，以“强基提质、智造创新、协同发展”为主题，联合开展铸造业高质量发展课题研究，并面向社会征集铸造业高质量发展方面的研究论文（调查报告）。现就行业内征集研究论文（调查报告）相关事宜通知如下：</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一、重点内容</w:t>
      </w:r>
    </w:p>
    <w:p>
      <w:pPr>
        <w:spacing w:line="360" w:lineRule="auto"/>
        <w:rPr>
          <w:rFonts w:hint="eastAsia" w:ascii="仿宋" w:hAnsi="仿宋" w:eastAsia="仿宋" w:cs="仿宋"/>
          <w:sz w:val="24"/>
          <w:szCs w:val="32"/>
        </w:rPr>
      </w:pPr>
      <w:r>
        <w:rPr>
          <w:rFonts w:hint="eastAsia" w:ascii="仿宋" w:hAnsi="仿宋" w:eastAsia="仿宋" w:cs="仿宋"/>
          <w:sz w:val="24"/>
          <w:szCs w:val="32"/>
        </w:rPr>
        <w:t>围绕明确产业发展定位、破解短板问题、探寻转型发展路径、构建产业生态等方面重点，对照全省对于铸造行业高质量发展的战略关键点和战略目标，通过查找转型实践中遇到的困难与问题，汇集众智，提出针对性较强的对策建议。凡是涉及铸造业高质量发展的研究论文（调查报告）均可申报参加征文。</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二、论文要求</w:t>
      </w:r>
    </w:p>
    <w:p>
      <w:pPr>
        <w:spacing w:line="360" w:lineRule="auto"/>
        <w:rPr>
          <w:rFonts w:hint="eastAsia" w:ascii="仿宋" w:hAnsi="仿宋" w:eastAsia="仿宋" w:cs="仿宋"/>
          <w:sz w:val="24"/>
          <w:szCs w:val="32"/>
        </w:rPr>
      </w:pPr>
      <w:r>
        <w:rPr>
          <w:rFonts w:hint="eastAsia" w:ascii="仿宋" w:hAnsi="仿宋" w:eastAsia="仿宋" w:cs="仿宋"/>
          <w:sz w:val="24"/>
          <w:szCs w:val="32"/>
        </w:rPr>
        <w:t>（一）论点明确、论据充分、文字简练、数据准确、公式正确、图形图像图表清晰，且不涉及国家和企业政治、经济及技术机密；</w:t>
      </w:r>
    </w:p>
    <w:p>
      <w:pPr>
        <w:spacing w:line="360" w:lineRule="auto"/>
        <w:rPr>
          <w:rFonts w:hint="eastAsia" w:ascii="仿宋" w:hAnsi="仿宋" w:eastAsia="仿宋" w:cs="仿宋"/>
          <w:sz w:val="24"/>
          <w:szCs w:val="32"/>
        </w:rPr>
      </w:pPr>
      <w:r>
        <w:rPr>
          <w:rFonts w:hint="eastAsia" w:ascii="仿宋" w:hAnsi="仿宋" w:eastAsia="仿宋" w:cs="仿宋"/>
          <w:sz w:val="24"/>
          <w:szCs w:val="32"/>
        </w:rPr>
        <w:t>（二）所有论文为未曾正式发表，每个第一作者每人限投一篇；</w:t>
      </w:r>
    </w:p>
    <w:p>
      <w:pPr>
        <w:spacing w:line="360" w:lineRule="auto"/>
        <w:rPr>
          <w:rFonts w:hint="eastAsia" w:ascii="仿宋" w:hAnsi="仿宋" w:eastAsia="仿宋" w:cs="仿宋"/>
          <w:sz w:val="24"/>
          <w:szCs w:val="32"/>
        </w:rPr>
      </w:pPr>
      <w:r>
        <w:rPr>
          <w:rFonts w:hint="eastAsia" w:ascii="仿宋" w:hAnsi="仿宋" w:eastAsia="仿宋" w:cs="仿宋"/>
          <w:sz w:val="24"/>
          <w:szCs w:val="32"/>
        </w:rPr>
        <w:t>（三）所有论文由征文活动主办单位组织进行形式审查和初评，并进行查重。查重率20%以上不予采用。</w:t>
      </w:r>
    </w:p>
    <w:p>
      <w:pPr>
        <w:spacing w:line="360" w:lineRule="auto"/>
        <w:rPr>
          <w:rFonts w:hint="eastAsia" w:ascii="仿宋" w:hAnsi="仿宋" w:eastAsia="仿宋" w:cs="仿宋"/>
          <w:sz w:val="24"/>
          <w:szCs w:val="32"/>
        </w:rPr>
      </w:pPr>
      <w:r>
        <w:rPr>
          <w:rFonts w:hint="eastAsia" w:ascii="仿宋" w:hAnsi="仿宋" w:eastAsia="仿宋" w:cs="仿宋"/>
          <w:sz w:val="24"/>
          <w:szCs w:val="32"/>
        </w:rPr>
        <w:t>（四）格式要求</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1.幅面及文本格式</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论文为A4标准幅面，文本格式为*.doc或*.wps。</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2.标题</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标题应鲜明，一般不超过25个字。请用小三黑体，不使用外文缩写词。</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3.作者姓名及单位信息</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请在论文末尾用小四楷体注明作者信息，包括作者单位名称、邮编、联系方式。</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4.摘要</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请用中英文双语，五号楷体，摘要文字控制在250字内，重点包括研究目的、方法、结果和结论，结果和结论尤为重要。摘要须用第三人称写。</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5.关键词</w:t>
      </w:r>
      <w:r>
        <w:rPr>
          <w:rFonts w:hint="eastAsia" w:ascii="仿宋" w:hAnsi="仿宋" w:eastAsia="仿宋" w:cs="仿宋"/>
          <w:b/>
          <w:bCs/>
          <w:sz w:val="24"/>
          <w:szCs w:val="32"/>
          <w:lang w:val="en-US" w:eastAsia="zh-CN"/>
        </w:rPr>
        <w:t xml:space="preserve">   </w:t>
      </w:r>
      <w:r>
        <w:rPr>
          <w:rFonts w:hint="eastAsia" w:ascii="仿宋" w:hAnsi="仿宋" w:eastAsia="仿宋" w:cs="仿宋"/>
          <w:sz w:val="24"/>
          <w:szCs w:val="32"/>
        </w:rPr>
        <w:t>请用五号楷体，要求不少于3个，不超过5个。</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6.正文</w:t>
      </w:r>
      <w:r>
        <w:rPr>
          <w:rFonts w:hint="eastAsia" w:ascii="仿宋" w:hAnsi="仿宋" w:eastAsia="仿宋" w:cs="仿宋"/>
          <w:b/>
          <w:bCs/>
          <w:sz w:val="24"/>
          <w:szCs w:val="32"/>
          <w:lang w:val="en-US" w:eastAsia="zh-CN"/>
        </w:rPr>
        <w:t xml:space="preserve">   </w:t>
      </w:r>
      <w:r>
        <w:rPr>
          <w:rFonts w:hint="eastAsia" w:ascii="仿宋" w:hAnsi="仿宋" w:eastAsia="仿宋" w:cs="仿宋"/>
          <w:sz w:val="24"/>
          <w:szCs w:val="32"/>
        </w:rPr>
        <w:t>文字为中文，请用五号宋体，字数3000-5000字。</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7.参考文献</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执行中华人民共和国国家标准GB/T7714 -2005《文后参考文献著录规则》。请用五号仿宋。</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三、截稿日期</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论文截稿日期为2024年1月底。</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四、论文评选</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主办单位邀请专家组成专家委员会，并本着公开、公平、公正的原则，对所有通过形式审查和初审、查重的文稿进行打分，评选出特别奖、一等奖、二等奖、三等奖、纪念奖四种等次。根据投稿数量按比率设置各奖项数量。其中特别奖不超过2篇，一等奖不超过10%，二等奖不超过20%，三等奖不超过30%。</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获奖论文除颁发荣誉证书和300——1000元额度不等的稿酬外，并汇编专辑，向作者赠阅。同时向</w:t>
      </w:r>
      <w:r>
        <w:rPr>
          <w:rFonts w:hint="eastAsia" w:ascii="仿宋" w:hAnsi="仿宋" w:eastAsia="仿宋" w:cs="仿宋"/>
          <w:sz w:val="24"/>
          <w:szCs w:val="32"/>
          <w:lang w:val="en-US" w:eastAsia="zh-CN"/>
        </w:rPr>
        <w:t>国</w:t>
      </w:r>
      <w:r>
        <w:rPr>
          <w:rFonts w:hint="eastAsia" w:ascii="仿宋" w:hAnsi="仿宋" w:eastAsia="仿宋" w:cs="仿宋"/>
          <w:sz w:val="24"/>
          <w:szCs w:val="32"/>
        </w:rPr>
        <w:t>内公开发行的刊物《铸造设备与工艺》（ISSN 1674-6694  CN14-1352/TG）推荐发表。经《铸造设备与工艺》编辑部审核通过后，于当年开始逐步刊出。主办单位还将对获奖论文主要观点、对策、建议、举措、意见等进行精炼摘编，提供省级党政领导和相关部门参考。</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五、其他事项</w:t>
      </w:r>
    </w:p>
    <w:p>
      <w:pPr>
        <w:spacing w:line="360" w:lineRule="auto"/>
        <w:rPr>
          <w:rFonts w:hint="eastAsia" w:ascii="仿宋" w:hAnsi="仿宋" w:eastAsia="仿宋" w:cs="仿宋"/>
          <w:sz w:val="24"/>
          <w:szCs w:val="32"/>
        </w:rPr>
      </w:pPr>
      <w:r>
        <w:rPr>
          <w:rFonts w:hint="eastAsia" w:ascii="仿宋" w:hAnsi="仿宋" w:eastAsia="仿宋" w:cs="仿宋"/>
          <w:sz w:val="24"/>
          <w:szCs w:val="32"/>
        </w:rPr>
        <w:t>（一）参评论文作者对其著作承担真实性责任，并确保没有纠纷。一旦有投诉反映，组委会不予查证，直接取消文稿评审资格。</w:t>
      </w:r>
    </w:p>
    <w:p>
      <w:pPr>
        <w:spacing w:line="360" w:lineRule="auto"/>
        <w:rPr>
          <w:rFonts w:hint="eastAsia" w:ascii="仿宋" w:hAnsi="仿宋" w:eastAsia="仿宋" w:cs="仿宋"/>
          <w:sz w:val="24"/>
          <w:szCs w:val="32"/>
        </w:rPr>
      </w:pPr>
      <w:r>
        <w:rPr>
          <w:rFonts w:hint="eastAsia" w:ascii="仿宋" w:hAnsi="仿宋" w:eastAsia="仿宋" w:cs="仿宋"/>
          <w:sz w:val="24"/>
          <w:szCs w:val="32"/>
        </w:rPr>
        <w:t>（二）本次评选不收取任何费用。来稿均以电子邮件形式发送至指定邮箱，不接受纸质稿件。</w:t>
      </w:r>
    </w:p>
    <w:p>
      <w:pPr>
        <w:spacing w:line="360" w:lineRule="auto"/>
        <w:rPr>
          <w:rFonts w:hint="eastAsia" w:ascii="仿宋" w:hAnsi="仿宋" w:eastAsia="仿宋" w:cs="仿宋"/>
          <w:sz w:val="24"/>
          <w:szCs w:val="32"/>
        </w:rPr>
      </w:pPr>
      <w:r>
        <w:rPr>
          <w:rFonts w:hint="eastAsia" w:ascii="仿宋" w:hAnsi="仿宋" w:eastAsia="仿宋" w:cs="仿宋"/>
          <w:sz w:val="24"/>
          <w:szCs w:val="32"/>
        </w:rPr>
        <w:t>（三）研究论文（调查报告）征集指定邮箱为zhao_wp58@ 163.com。</w:t>
      </w:r>
    </w:p>
    <w:p>
      <w:pPr>
        <w:spacing w:line="360" w:lineRule="auto"/>
        <w:ind w:firstLine="240" w:firstLineChars="100"/>
        <w:rPr>
          <w:rFonts w:hint="eastAsia" w:ascii="仿宋" w:hAnsi="仿宋" w:eastAsia="仿宋" w:cs="仿宋"/>
          <w:sz w:val="24"/>
          <w:szCs w:val="32"/>
          <w:lang w:val="en-US" w:eastAsia="zh-CN"/>
        </w:rPr>
      </w:pPr>
      <w:r>
        <w:rPr>
          <w:rFonts w:hint="eastAsia" w:ascii="仿宋" w:hAnsi="仿宋" w:eastAsia="仿宋" w:cs="仿宋"/>
          <w:sz w:val="24"/>
          <w:szCs w:val="32"/>
        </w:rPr>
        <w:t>联系人：赵卫平  电话：15603461156；</w:t>
      </w:r>
      <w:r>
        <w:rPr>
          <w:rFonts w:hint="eastAsia" w:ascii="仿宋" w:hAnsi="仿宋" w:eastAsia="仿宋" w:cs="仿宋"/>
          <w:sz w:val="24"/>
          <w:szCs w:val="32"/>
          <w:lang w:val="en-US" w:eastAsia="zh-CN"/>
        </w:rPr>
        <w:t xml:space="preserve">  </w:t>
      </w:r>
      <w:r>
        <w:rPr>
          <w:rFonts w:hint="eastAsia" w:ascii="仿宋" w:hAnsi="仿宋" w:eastAsia="仿宋" w:cs="仿宋"/>
          <w:sz w:val="24"/>
          <w:szCs w:val="32"/>
        </w:rPr>
        <w:t>王广业  电话：13703594116</w:t>
      </w:r>
    </w:p>
    <w:p>
      <w:pPr>
        <w:spacing w:line="360" w:lineRule="auto"/>
        <w:rPr>
          <w:rFonts w:hint="eastAsia" w:ascii="仿宋" w:hAnsi="仿宋" w:eastAsia="仿宋" w:cs="仿宋"/>
          <w:b/>
          <w:bCs/>
          <w:color w:val="0000FF"/>
          <w:sz w:val="24"/>
          <w:szCs w:val="32"/>
        </w:rPr>
      </w:pPr>
      <w:r>
        <w:rPr>
          <w:rFonts w:hint="eastAsia" w:ascii="仿宋" w:hAnsi="仿宋" w:eastAsia="仿宋" w:cs="仿宋"/>
          <w:b/>
          <w:bCs/>
          <w:color w:val="0000FF"/>
          <w:sz w:val="24"/>
          <w:szCs w:val="24"/>
          <w:lang w:val="en-US" w:eastAsia="zh-CN"/>
        </w:rPr>
        <w:t xml:space="preserve">2.3.7  </w:t>
      </w:r>
      <w:r>
        <w:rPr>
          <w:rFonts w:hint="eastAsia" w:ascii="仿宋" w:hAnsi="仿宋" w:eastAsia="仿宋" w:cs="仿宋"/>
          <w:b/>
          <w:bCs/>
          <w:color w:val="0000FF"/>
          <w:sz w:val="24"/>
          <w:szCs w:val="32"/>
        </w:rPr>
        <w:t>“中国铸造协会大学堂”——铸造工程师与铸造工系列培训报名火热进行中，期待您的加入！</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中国铸造协会大学堂”是中国铸造协会主办的专业人才培训品牌，是为解决我国铸造行业人才短缺、断档问题，满足中国铸造在新时代高质量发展需要而启动的大规模铸造人才培养工程。大学堂由中国铸造协会牵头，全国地方铸造行业组织、骨干铸造企业、相关职业院校共同参与，通过线上、线下相结合的方式广泛培养有扎实理论基础和过硬技能的铸造工程师队伍、技师队伍和工人队伍。</w:t>
      </w:r>
    </w:p>
    <w:p>
      <w:pPr>
        <w:spacing w:line="360" w:lineRule="auto"/>
        <w:ind w:firstLine="480" w:firstLineChars="200"/>
        <w:rPr>
          <w:rFonts w:hint="eastAsia" w:ascii="仿宋" w:hAnsi="仿宋" w:eastAsia="仿宋" w:cs="仿宋"/>
          <w:sz w:val="24"/>
          <w:szCs w:val="32"/>
          <w:lang w:eastAsia="zh-CN"/>
        </w:rPr>
      </w:pPr>
      <w:r>
        <w:rPr>
          <w:rFonts w:hint="eastAsia" w:ascii="仿宋" w:hAnsi="仿宋" w:eastAsia="仿宋" w:cs="仿宋"/>
          <w:sz w:val="24"/>
          <w:szCs w:val="32"/>
        </w:rPr>
        <w:t>经过一年的建设，大学堂黏土砂铸铁、树脂砂铸铁、砂型铸钢、压铸四个工艺的工程师和铸造工课程，于2023年9月上线，开启培训。</w:t>
      </w:r>
    </w:p>
    <w:p>
      <w:pPr>
        <w:spacing w:line="360" w:lineRule="auto"/>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drawing>
          <wp:inline distT="0" distB="0" distL="114300" distR="114300">
            <wp:extent cx="4747895" cy="2411730"/>
            <wp:effectExtent l="0" t="0" r="1905" b="1270"/>
            <wp:docPr id="2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IMG_256"/>
                    <pic:cNvPicPr>
                      <a:picLocks noChangeAspect="1"/>
                    </pic:cNvPicPr>
                  </pic:nvPicPr>
                  <pic:blipFill>
                    <a:blip r:embed="rId22"/>
                    <a:stretch>
                      <a:fillRect/>
                    </a:stretch>
                  </pic:blipFill>
                  <pic:spPr>
                    <a:xfrm>
                      <a:off x="0" y="0"/>
                      <a:ext cx="4747895" cy="2411730"/>
                    </a:xfrm>
                    <a:prstGeom prst="rect">
                      <a:avLst/>
                    </a:prstGeom>
                    <a:noFill/>
                    <a:ln w="9525">
                      <a:noFill/>
                    </a:ln>
                  </pic:spPr>
                </pic:pic>
              </a:graphicData>
            </a:graphic>
          </wp:inline>
        </w:drawing>
      </w:r>
    </w:p>
    <w:p>
      <w:pPr>
        <w:spacing w:line="360" w:lineRule="auto"/>
        <w:jc w:val="center"/>
        <w:rPr>
          <w:rFonts w:hint="eastAsia" w:ascii="仿宋" w:hAnsi="仿宋" w:eastAsia="仿宋" w:cs="仿宋"/>
          <w:b/>
          <w:bCs/>
          <w:sz w:val="24"/>
          <w:szCs w:val="32"/>
        </w:rPr>
      </w:pPr>
      <w:r>
        <w:rPr>
          <w:rFonts w:hint="eastAsia" w:ascii="仿宋" w:hAnsi="仿宋" w:eastAsia="仿宋" w:cs="仿宋"/>
          <w:b/>
          <w:bCs/>
          <w:sz w:val="24"/>
          <w:szCs w:val="32"/>
          <w:lang w:val="en-US" w:eastAsia="zh-CN"/>
        </w:rPr>
        <w:t>大学堂开学第一课直播截图</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大学堂培训开启以来一个月，行业内咨询培训报名火热，四个工艺的培训课程都收到了踊跃报名。目前已经完成培训资格审核，开始培训的学员企业有：宁波力劲科技有限公司、上海镁镁合金压铸有限公司、共赢装备制造有限公司、沈阳金安铸造材料股份有限公司、苏州市海威特铸造厂、苏州振吴电炉有限公司、南野金属材料（苏州）有限公司、万丰镁瑞丁新材料科技有限公司、宁波海威汽车零件股份有限公司、苏州市润达机械制造有限公司、宁波海威汽车零件股份有限公司、利欧集团浙江泵业有限公司、波马嘉仕其（北京）索道有限责任公司、东港市英硕机械有限公司、南京中车浦镇海泰制动设备有限公司、山东永乐机械制造有限公司、湖南鑫泉科技有限公司、嘉禾县中毅达铸造有限公司、嘉禾县飞恒合金铸造有限公司、嘉禾县正润铸造有限公司、嘉禾县金牛五金铸业有限公司、嘉禾县宏盛制造有限公司、湖南合创机械铸造有限公司、郴州市银河工具有限公司、嘉禾县竞成铸造有限公司……到2024年春节前后,这些单位的铸造工程师和铸造工,将成为大学堂第一批完成学业取得铸造工程师和铸造工证书的技术技能人才!</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党的二十大报告指出，“要深入实施人才强国战略。培养造就大批德才兼备的高素质人才，是国家和民族长远发展大计。要加快建设国家战略人才力量，努力培养造就更多大师、战略科学家、一流科技领军人才和创新团队、青年科技人才、卓越工程师、大国工匠、高技能人才”。中国铸造协会大学堂的成功建设，也是学习贯彻党的二十大精神的具体实践。</w:t>
      </w:r>
    </w:p>
    <w:p>
      <w:pPr>
        <w:spacing w:line="360" w:lineRule="auto"/>
        <w:ind w:firstLine="480"/>
        <w:jc w:val="left"/>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2022年9月20日，在十八届中国铸造协会年会开幕式上，“中国铸造协会大学堂”举行了庄重的启动仪式</w:t>
      </w:r>
    </w:p>
    <w:p>
      <w:pPr>
        <w:spacing w:line="360" w:lineRule="auto"/>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drawing>
          <wp:inline distT="0" distB="0" distL="114300" distR="114300">
            <wp:extent cx="4192905" cy="2568575"/>
            <wp:effectExtent l="0" t="0" r="10795" b="9525"/>
            <wp:docPr id="2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descr="IMG_257"/>
                    <pic:cNvPicPr>
                      <a:picLocks noChangeAspect="1"/>
                    </pic:cNvPicPr>
                  </pic:nvPicPr>
                  <pic:blipFill>
                    <a:blip r:embed="rId23"/>
                    <a:stretch>
                      <a:fillRect/>
                    </a:stretch>
                  </pic:blipFill>
                  <pic:spPr>
                    <a:xfrm>
                      <a:off x="0" y="0"/>
                      <a:ext cx="4192905" cy="2568575"/>
                    </a:xfrm>
                    <a:prstGeom prst="rect">
                      <a:avLst/>
                    </a:prstGeom>
                    <a:noFill/>
                    <a:ln w="9525">
                      <a:noFill/>
                    </a:ln>
                  </pic:spPr>
                </pic:pic>
              </a:graphicData>
            </a:graphic>
          </wp:inline>
        </w:drawing>
      </w:r>
    </w:p>
    <w:p>
      <w:pPr>
        <w:spacing w:line="360" w:lineRule="auto"/>
        <w:jc w:val="left"/>
        <w:rPr>
          <w:rFonts w:hint="eastAsia" w:ascii="仿宋" w:hAnsi="仿宋" w:eastAsia="仿宋" w:cs="仿宋"/>
          <w:sz w:val="24"/>
          <w:szCs w:val="32"/>
        </w:rPr>
      </w:pPr>
      <w:r>
        <w:rPr>
          <w:rFonts w:hint="eastAsia" w:ascii="仿宋" w:hAnsi="仿宋" w:eastAsia="仿宋" w:cs="仿宋"/>
          <w:sz w:val="24"/>
          <w:szCs w:val="32"/>
          <w:lang w:val="en-US" w:eastAsia="zh-CN"/>
        </w:rPr>
        <w:t xml:space="preserve">    大学堂课程分为铸造工程师系列和铸造工系列，各系列按铸造工艺再细分为黏土砂铸铁、树脂砂铸铁、砂型铸钢、压铸、熔模精密铸造、低压铸造、消失模铸造、V法铸造、挤压铸造和半固态铸造，将分三期上线。其中黏土砂铸铁、树脂砂铸铁、砂型铸钢、压铸四个工艺的工程师和铸造工课程已经上线，下一步将开启熔模精密铸造、消失模铸造、V法铸造的课程建设。</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中国铸造协会大学堂”培训报名主要通过建在全国各地的大学堂地方分中心组织实施。中国铸造协会自2023年4月启动大学堂分中心征集工作，截至目前，中国铸造协会已经批准建设了11个大学堂地方分中心，另有13家分中心即将建立。“大学堂地方分中心””是中国铸造协会大学堂的重要组成部分，承担招生、辅导、实习、线下考试等重要工作职责。主要设置在地方铸造行业组织和骨干企业。根据中国铸造协会统一规划，未来要在全国建设200家大学堂地方分中心，也希望全行业广泛参与分中心建设中来。</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rPr>
        <w:t>随着中国铸造协会大学堂品牌在行业内的推广，大学堂培训咨询报名持续火热进行。</w:t>
      </w:r>
      <w:r>
        <w:rPr>
          <w:rFonts w:hint="eastAsia" w:ascii="仿宋" w:hAnsi="仿宋" w:eastAsia="仿宋" w:cs="仿宋"/>
          <w:sz w:val="24"/>
          <w:szCs w:val="32"/>
          <w:lang w:val="en-US" w:eastAsia="zh-CN"/>
        </w:rPr>
        <w:t>培训咨询报名请到各地分中心。</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报名：大学堂山西分中心（山西省铸造行业协会）联系人：王广业13703594116来源：</w:t>
      </w:r>
      <w:r>
        <w:rPr>
          <w:rFonts w:hint="eastAsia" w:ascii="仿宋" w:hAnsi="仿宋" w:eastAsia="仿宋" w:cs="仿宋"/>
          <w:sz w:val="24"/>
          <w:szCs w:val="32"/>
        </w:rPr>
        <w:t>中铸协</w:t>
      </w:r>
      <w:r>
        <w:rPr>
          <w:rFonts w:hint="eastAsia" w:ascii="仿宋" w:hAnsi="仿宋" w:eastAsia="仿宋" w:cs="仿宋"/>
          <w:sz w:val="24"/>
          <w:szCs w:val="32"/>
          <w:lang w:val="en-US" w:eastAsia="zh-CN"/>
        </w:rPr>
        <w:t xml:space="preserve"> </w:t>
      </w:r>
    </w:p>
    <w:p>
      <w:pPr>
        <w:spacing w:line="360" w:lineRule="auto"/>
        <w:jc w:val="both"/>
        <w:rPr>
          <w:rFonts w:hint="eastAsia" w:ascii="仿宋" w:hAnsi="仿宋" w:eastAsia="仿宋" w:cs="仿宋"/>
          <w:sz w:val="24"/>
          <w:szCs w:val="32"/>
          <w:lang w:eastAsia="zh-CN"/>
        </w:rPr>
      </w:pPr>
    </w:p>
    <w:p>
      <w:pPr>
        <w:spacing w:line="360" w:lineRule="auto"/>
        <w:jc w:val="center"/>
        <w:rPr>
          <w:rFonts w:hint="eastAsia" w:ascii="仿宋" w:hAnsi="仿宋" w:eastAsia="仿宋" w:cs="仿宋"/>
          <w:sz w:val="24"/>
          <w:szCs w:val="32"/>
          <w:lang w:eastAsia="zh-CN"/>
        </w:rPr>
      </w:pPr>
      <w:r>
        <w:rPr>
          <w:rFonts w:hint="eastAsia" w:ascii="仿宋" w:hAnsi="仿宋" w:eastAsia="仿宋" w:cs="仿宋"/>
          <w:sz w:val="24"/>
          <w:szCs w:val="32"/>
          <w:lang w:eastAsia="zh-CN"/>
        </w:rPr>
        <w:drawing>
          <wp:inline distT="0" distB="0" distL="114300" distR="114300">
            <wp:extent cx="4973955" cy="1877695"/>
            <wp:effectExtent l="0" t="0" r="4445" b="1905"/>
            <wp:docPr id="59" name="图片 5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3"/>
                    <pic:cNvPicPr>
                      <a:picLocks noChangeAspect="1"/>
                    </pic:cNvPicPr>
                  </pic:nvPicPr>
                  <pic:blipFill>
                    <a:blip r:embed="rId24"/>
                    <a:srcRect l="3467" t="47998" r="3744" b="26259"/>
                    <a:stretch>
                      <a:fillRect/>
                    </a:stretch>
                  </pic:blipFill>
                  <pic:spPr>
                    <a:xfrm>
                      <a:off x="0" y="0"/>
                      <a:ext cx="4973955" cy="1877695"/>
                    </a:xfrm>
                    <a:prstGeom prst="rect">
                      <a:avLst/>
                    </a:prstGeom>
                  </pic:spPr>
                </pic:pic>
              </a:graphicData>
            </a:graphic>
          </wp:inline>
        </w:drawing>
      </w:r>
    </w:p>
    <w:p>
      <w:pPr>
        <w:spacing w:line="360" w:lineRule="auto"/>
        <w:jc w:val="center"/>
        <w:rPr>
          <w:rFonts w:hint="eastAsia" w:ascii="仿宋" w:hAnsi="仿宋" w:eastAsia="仿宋" w:cs="仿宋"/>
          <w:sz w:val="24"/>
          <w:szCs w:val="32"/>
          <w:lang w:eastAsia="zh-CN"/>
        </w:rPr>
      </w:pPr>
    </w:p>
    <w:p>
      <w:pPr>
        <w:spacing w:line="360" w:lineRule="auto"/>
        <w:jc w:val="center"/>
        <w:rPr>
          <w:rFonts w:hint="eastAsia" w:ascii="仿宋" w:hAnsi="仿宋" w:eastAsia="仿宋" w:cs="仿宋"/>
          <w:sz w:val="24"/>
          <w:szCs w:val="32"/>
          <w:lang w:eastAsia="zh-CN"/>
        </w:rPr>
      </w:pPr>
      <w:r>
        <w:rPr>
          <w:rFonts w:hint="eastAsia" w:ascii="仿宋" w:hAnsi="仿宋" w:eastAsia="仿宋" w:cs="仿宋"/>
          <w:sz w:val="24"/>
          <w:szCs w:val="32"/>
          <w:lang w:eastAsia="zh-CN"/>
        </w:rPr>
        <w:drawing>
          <wp:inline distT="0" distB="0" distL="114300" distR="114300">
            <wp:extent cx="5005705" cy="1727835"/>
            <wp:effectExtent l="0" t="0" r="10795" b="12065"/>
            <wp:docPr id="64" name="图片 6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3"/>
                    <pic:cNvPicPr>
                      <a:picLocks noChangeAspect="1"/>
                    </pic:cNvPicPr>
                  </pic:nvPicPr>
                  <pic:blipFill>
                    <a:blip r:embed="rId24"/>
                    <a:srcRect l="3269" t="75341" r="3744"/>
                    <a:stretch>
                      <a:fillRect/>
                    </a:stretch>
                  </pic:blipFill>
                  <pic:spPr>
                    <a:xfrm>
                      <a:off x="0" y="0"/>
                      <a:ext cx="5005705" cy="1727835"/>
                    </a:xfrm>
                    <a:prstGeom prst="rect">
                      <a:avLst/>
                    </a:prstGeom>
                  </pic:spPr>
                </pic:pic>
              </a:graphicData>
            </a:graphic>
          </wp:inline>
        </w:drawing>
      </w:r>
    </w:p>
    <w:p>
      <w:pPr>
        <w:spacing w:line="360" w:lineRule="auto"/>
        <w:jc w:val="center"/>
        <w:rPr>
          <w:rFonts w:hint="eastAsia" w:ascii="仿宋" w:hAnsi="仿宋" w:eastAsia="仿宋" w:cs="仿宋"/>
          <w:sz w:val="24"/>
          <w:szCs w:val="32"/>
          <w:lang w:eastAsia="zh-CN"/>
        </w:rPr>
      </w:pPr>
    </w:p>
    <w:p>
      <w:pPr>
        <w:spacing w:line="360" w:lineRule="auto"/>
        <w:jc w:val="center"/>
        <w:rPr>
          <w:rFonts w:hint="eastAsia" w:ascii="仿宋" w:hAnsi="仿宋" w:eastAsia="仿宋" w:cs="仿宋"/>
          <w:sz w:val="24"/>
          <w:szCs w:val="32"/>
          <w:lang w:eastAsia="zh-CN"/>
        </w:rPr>
      </w:pPr>
      <w:r>
        <w:rPr>
          <w:rFonts w:hint="eastAsia" w:ascii="仿宋" w:hAnsi="仿宋" w:eastAsia="仿宋" w:cs="仿宋"/>
          <w:sz w:val="24"/>
          <w:szCs w:val="32"/>
          <w:lang w:eastAsia="zh-CN"/>
        </w:rPr>
        <w:drawing>
          <wp:inline distT="0" distB="0" distL="114300" distR="114300">
            <wp:extent cx="5005705" cy="1465580"/>
            <wp:effectExtent l="0" t="0" r="10795" b="7620"/>
            <wp:docPr id="65" name="图片 6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5"/>
                    <pic:cNvPicPr>
                      <a:picLocks noChangeAspect="1"/>
                    </pic:cNvPicPr>
                  </pic:nvPicPr>
                  <pic:blipFill>
                    <a:blip r:embed="rId25"/>
                    <a:srcRect l="2898" t="3232" r="3755" b="83662"/>
                    <a:stretch>
                      <a:fillRect/>
                    </a:stretch>
                  </pic:blipFill>
                  <pic:spPr>
                    <a:xfrm>
                      <a:off x="0" y="0"/>
                      <a:ext cx="5005705" cy="1465580"/>
                    </a:xfrm>
                    <a:prstGeom prst="rect">
                      <a:avLst/>
                    </a:prstGeom>
                  </pic:spPr>
                </pic:pic>
              </a:graphicData>
            </a:graphic>
          </wp:inline>
        </w:drawing>
      </w:r>
    </w:p>
    <w:p>
      <w:pPr>
        <w:spacing w:line="360" w:lineRule="auto"/>
        <w:jc w:val="both"/>
        <w:rPr>
          <w:rFonts w:hint="eastAsia" w:ascii="仿宋" w:hAnsi="仿宋" w:eastAsia="仿宋" w:cs="仿宋"/>
          <w:sz w:val="24"/>
          <w:szCs w:val="32"/>
          <w:lang w:val="en-US" w:eastAsia="zh-CN"/>
        </w:rPr>
      </w:pPr>
      <w:r>
        <w:rPr>
          <w:rFonts w:hint="eastAsia" w:ascii="仿宋" w:hAnsi="仿宋" w:eastAsia="仿宋" w:cs="仿宋"/>
          <w:b/>
          <w:bCs/>
          <w:color w:val="0000FF"/>
          <w:sz w:val="24"/>
          <w:szCs w:val="32"/>
          <w:lang w:val="en-US" w:eastAsia="zh-CN"/>
        </w:rPr>
        <w:t xml:space="preserve">2.3.8 </w:t>
      </w:r>
      <w:r>
        <w:rPr>
          <w:rFonts w:hint="eastAsia" w:ascii="仿宋" w:hAnsi="仿宋" w:eastAsia="仿宋" w:cs="仿宋"/>
          <w:b/>
          <w:bCs/>
          <w:sz w:val="24"/>
          <w:szCs w:val="32"/>
          <w:lang w:val="en-US" w:eastAsia="zh-CN"/>
        </w:rPr>
        <w:t xml:space="preserve"> </w:t>
      </w:r>
      <w:r>
        <w:rPr>
          <w:rFonts w:hint="eastAsia" w:ascii="仿宋" w:hAnsi="仿宋" w:eastAsia="仿宋" w:cs="仿宋"/>
          <w:b/>
          <w:bCs/>
          <w:color w:val="0000FF"/>
          <w:sz w:val="24"/>
          <w:szCs w:val="32"/>
          <w:lang w:val="en-US" w:eastAsia="zh-CN"/>
        </w:rPr>
        <w:t>关于组织参加“智能制造专家诊断评估”活动的通知</w:t>
      </w:r>
      <w:r>
        <w:rPr>
          <w:rFonts w:hint="eastAsia" w:ascii="仿宋" w:hAnsi="仿宋" w:eastAsia="仿宋" w:cs="仿宋"/>
          <w:color w:val="0000FF"/>
          <w:sz w:val="24"/>
          <w:szCs w:val="32"/>
          <w:lang w:val="en-US" w:eastAsia="zh-CN"/>
        </w:rPr>
        <w:t xml:space="preserve">  </w:t>
      </w:r>
      <w:r>
        <w:rPr>
          <w:rFonts w:hint="eastAsia" w:ascii="仿宋" w:hAnsi="仿宋" w:eastAsia="仿宋" w:cs="仿宋"/>
          <w:sz w:val="24"/>
          <w:szCs w:val="32"/>
          <w:lang w:val="en-US" w:eastAsia="zh-CN"/>
        </w:rPr>
        <w:t xml:space="preserve">                         </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为贯彻落实山西省人民政府关于加快数字经济发展的精神，依据省工信厅《关于开展 2023 年省级数字经济相关政策项目资金申报工作的通知》，山西铸协拟联合山西华益慧联科技有限公司在我省铸造行业中对数字化转型有较强意愿的企业中开展“智能制造专家诊断评估”活动，以促进我省铸造行业数字化、智能化、绿色化转型发展。现将有关事项通知如下：</w:t>
      </w:r>
    </w:p>
    <w:p>
      <w:pPr>
        <w:spacing w:line="360" w:lineRule="auto"/>
        <w:ind w:firstLine="482" w:firstLineChars="200"/>
        <w:jc w:val="both"/>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一、活动程序：</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1.1 填写“智能制造专家诊断评估”申请表；</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1.2 专家评审确认参评单位；</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1.3 签订诊断评估合同，开展诊断评估；</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1.4 评估完成后，申请“智能制造专家诊断评估”经费补助。诊断费用省工信厅可以进行全额补贴。具体补助办法参见《山西省工业和信息化厅关于开展 2023 年省级数字经济相关政策项目资金申报工作的通知》中2023 年度省级数字经济发展专项资金申报指南第五条智能制造项目奖补政策。</w:t>
      </w:r>
    </w:p>
    <w:p>
      <w:pPr>
        <w:spacing w:line="360" w:lineRule="auto"/>
        <w:ind w:firstLine="482" w:firstLineChars="200"/>
        <w:jc w:val="both"/>
        <w:rPr>
          <w:rFonts w:hint="eastAsia" w:ascii="仿宋" w:hAnsi="仿宋" w:eastAsia="仿宋" w:cs="仿宋"/>
          <w:sz w:val="24"/>
          <w:szCs w:val="32"/>
          <w:lang w:val="en-US" w:eastAsia="zh-CN"/>
        </w:rPr>
      </w:pPr>
      <w:r>
        <w:rPr>
          <w:rFonts w:hint="eastAsia" w:ascii="仿宋" w:hAnsi="仿宋" w:eastAsia="仿宋" w:cs="仿宋"/>
          <w:b/>
          <w:bCs/>
          <w:sz w:val="24"/>
          <w:szCs w:val="32"/>
          <w:lang w:val="en-US" w:eastAsia="zh-CN"/>
        </w:rPr>
        <w:t>二、时间节点</w:t>
      </w:r>
      <w:r>
        <w:rPr>
          <w:rFonts w:hint="eastAsia" w:ascii="仿宋" w:hAnsi="仿宋" w:eastAsia="仿宋" w:cs="仿宋"/>
          <w:sz w:val="24"/>
          <w:szCs w:val="32"/>
          <w:lang w:val="en-US" w:eastAsia="zh-CN"/>
        </w:rPr>
        <w:t xml:space="preserve">： </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2.1 申请时间：2023年诊断项目：2023年12月31日截止；</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2.2 经费补助申请：根据省工信厅相关文件进行补助申请。</w:t>
      </w:r>
    </w:p>
    <w:p>
      <w:pPr>
        <w:spacing w:line="360" w:lineRule="auto"/>
        <w:ind w:firstLine="482" w:firstLineChars="200"/>
        <w:jc w:val="both"/>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三、经费说明</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3.1 本项活动为山西省数字经济发展专项资金支持项目； </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3.2 经费补助为后补方式，即先完成项目诊断，再申请补助。详情请和工作人员联系。                                                                                               </w:t>
      </w:r>
    </w:p>
    <w:p>
      <w:pPr>
        <w:spacing w:line="360" w:lineRule="auto"/>
        <w:ind w:firstLine="482" w:firstLineChars="200"/>
        <w:jc w:val="both"/>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四、联系方法：</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联 系 人: 郝鹏飞（18649311901） 王广业（13703594116）</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地    点: 山西省太原市小店区黄陵路56号1号楼4层</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联系电话/传真:0351-3982874  邮    箱: sxzzxh12@126.com</w:t>
      </w:r>
    </w:p>
    <w:p>
      <w:pPr>
        <w:spacing w:line="360" w:lineRule="auto"/>
        <w:ind w:firstLine="480" w:firstLineChars="200"/>
        <w:jc w:val="both"/>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 xml:space="preserve">   温馨提示：因名额有限，请有意参加评估活动的单位尽快填写申请表，报完为止，申请表请联系协会工作人员索取。</w:t>
      </w:r>
    </w:p>
    <w:p>
      <w:pPr>
        <w:spacing w:line="360" w:lineRule="auto"/>
        <w:jc w:val="both"/>
        <w:rPr>
          <w:rFonts w:hint="eastAsia" w:ascii="仿宋" w:hAnsi="仿宋" w:eastAsia="仿宋" w:cs="仿宋"/>
          <w:b/>
          <w:bCs/>
          <w:color w:val="0000FF"/>
          <w:sz w:val="24"/>
          <w:szCs w:val="32"/>
          <w:lang w:val="en-US" w:eastAsia="zh-CN"/>
        </w:rPr>
      </w:pPr>
      <w:r>
        <w:rPr>
          <w:rFonts w:hint="eastAsia" w:ascii="仿宋" w:hAnsi="仿宋" w:eastAsia="仿宋" w:cs="仿宋"/>
          <w:b/>
          <w:bCs/>
          <w:color w:val="0000FF"/>
          <w:sz w:val="24"/>
          <w:szCs w:val="32"/>
          <w:lang w:val="en-US" w:eastAsia="zh-CN"/>
        </w:rPr>
        <w:t xml:space="preserve">2.3.9 关于征集《铸造工厂工装模具数字化管理规范》团体标准参编单位的通知 </w:t>
      </w:r>
    </w:p>
    <w:p>
      <w:pPr>
        <w:spacing w:line="360" w:lineRule="auto"/>
        <w:jc w:val="both"/>
        <w:rPr>
          <w:rFonts w:hint="eastAsia" w:ascii="仿宋" w:hAnsi="仿宋" w:eastAsia="仿宋" w:cs="仿宋"/>
          <w:b/>
          <w:bCs/>
          <w:color w:val="0000FF"/>
          <w:sz w:val="24"/>
          <w:szCs w:val="32"/>
          <w:lang w:val="en-US" w:eastAsia="zh-CN"/>
        </w:rPr>
      </w:pPr>
      <w:r>
        <w:rPr>
          <w:rFonts w:hint="eastAsia" w:ascii="仿宋" w:hAnsi="仿宋" w:eastAsia="仿宋" w:cs="仿宋"/>
          <w:b w:val="0"/>
          <w:bCs w:val="0"/>
          <w:color w:val="auto"/>
          <w:sz w:val="24"/>
          <w:szCs w:val="32"/>
          <w:lang w:val="en-US" w:eastAsia="zh-CN"/>
        </w:rPr>
        <w:t>全省各铸造企业、中国智能制造系统解决方案供应商联盟山西分盟成员单位：</w:t>
      </w:r>
    </w:p>
    <w:p>
      <w:pPr>
        <w:spacing w:line="360" w:lineRule="auto"/>
        <w:ind w:firstLine="480" w:firstLineChars="200"/>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为进一步提升山西省铸造企业模具与工装管理水平，规范行业发展，经山西省铸造协会批准，拟制定《铸造工厂工装模具数字化管理规范》团体标准，并诚邀广大企业积极参与标准的制定过程。本标准旨在应用各类数字化技术手段对铸造企业模具与工装的使用、维护、存储、报废等进行管理，提高生产效率、产品质量和企业竞争力。参与标准制定的企业将有机会分享和借鉴行业内的最佳实践和先进经验，提升自身管理水平，增强市场竞争力。</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一、参编单位具体要求如下：</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（1）山西省内注册并经营铸造相关业务的企业或山西分盟成员单位；</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（2）具备一定的模具与工装管理经验和技术实力；</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（3）在数字化技术的研发或应用领域具备一定经验；</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（4）积极参与标准制定工作，能够按时完成相关任务；</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（5）提供真实、准确的企业数据和信息。</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二、参编单位权益与义务</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（1）参与标准制定的企业将作为团体标准的编写单位，享有参与制定和修订标准的权利；</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（2）参编单位将获得标准制定与推广过程中的相关交流机会；</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（3）参编单位的企业名称将列入标准的参编单位名单内；</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（4）承担团体标准编相应任务 ，参加编写过程中各项活动；</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（5）承担团体标准编写相应费用。</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三、申报要求</w:t>
      </w:r>
    </w:p>
    <w:p>
      <w:pPr>
        <w:spacing w:line="360" w:lineRule="auto"/>
        <w:ind w:firstLine="480" w:firstLineChars="200"/>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申报参与团体标准编制的单位请于2024年1月30日前填写申报表（见附表），报送山西省铸造行业协会或山西分盟秘书处。</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四、联系方式：</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山西省铸造行业协会</w:t>
      </w:r>
    </w:p>
    <w:p>
      <w:pPr>
        <w:spacing w:line="360" w:lineRule="auto"/>
        <w:jc w:val="both"/>
        <w:rPr>
          <w:rFonts w:hint="eastAsia" w:ascii="仿宋" w:hAnsi="仿宋" w:eastAsia="仿宋" w:cs="仿宋"/>
          <w:b w:val="0"/>
          <w:bCs w:val="0"/>
          <w:color w:val="auto"/>
          <w:sz w:val="24"/>
          <w:szCs w:val="32"/>
          <w:lang w:val="en-US" w:eastAsia="zh-CN"/>
        </w:rPr>
      </w:pPr>
      <w:r>
        <w:rPr>
          <w:rFonts w:hint="eastAsia" w:ascii="仿宋" w:hAnsi="仿宋" w:eastAsia="仿宋" w:cs="仿宋"/>
          <w:b w:val="0"/>
          <w:bCs w:val="0"/>
          <w:color w:val="auto"/>
          <w:sz w:val="24"/>
          <w:szCs w:val="32"/>
          <w:lang w:val="en-US" w:eastAsia="zh-CN"/>
        </w:rPr>
        <w:t xml:space="preserve">    联系人： 郝鹏飞18649311901   荣卫平 13603546520</w:t>
      </w:r>
    </w:p>
    <w:p>
      <w:pPr>
        <w:spacing w:line="360" w:lineRule="auto"/>
        <w:jc w:val="both"/>
        <w:rPr>
          <w:rFonts w:hint="eastAsia" w:ascii="仿宋" w:hAnsi="仿宋" w:eastAsia="仿宋" w:cs="仿宋"/>
          <w:b/>
          <w:bCs/>
          <w:color w:val="0070C0"/>
          <w:sz w:val="28"/>
          <w:szCs w:val="28"/>
          <w:lang w:val="en-US" w:eastAsia="zh-CN"/>
        </w:rPr>
      </w:pPr>
      <w:r>
        <w:rPr>
          <w:rFonts w:hint="eastAsia" w:ascii="仿宋" w:hAnsi="仿宋" w:eastAsia="仿宋" w:cs="仿宋"/>
          <w:b w:val="0"/>
          <w:bCs w:val="0"/>
          <w:color w:val="auto"/>
          <w:sz w:val="24"/>
          <w:szCs w:val="32"/>
          <w:lang w:val="en-US" w:eastAsia="zh-CN"/>
        </w:rPr>
        <w:t>智能制造系统解决方案供应商联盟山西分盟   联系人：董飞 185980977551</w:t>
      </w:r>
    </w:p>
    <w:p>
      <w:pPr>
        <w:numPr>
          <w:ilvl w:val="0"/>
          <w:numId w:val="0"/>
        </w:numPr>
        <w:spacing w:line="360" w:lineRule="auto"/>
        <w:ind w:leftChars="0"/>
        <w:rPr>
          <w:rFonts w:hint="default" w:ascii="仿宋" w:hAnsi="仿宋" w:eastAsia="仿宋" w:cs="仿宋"/>
          <w:b/>
          <w:bCs/>
          <w:color w:val="0070C0"/>
          <w:sz w:val="11"/>
          <w:szCs w:val="11"/>
          <w:lang w:val="en-US" w:eastAsia="zh-CN"/>
        </w:rPr>
      </w:pPr>
      <w:r>
        <w:rPr>
          <w:rFonts w:hint="eastAsia" w:ascii="仿宋" w:hAnsi="仿宋" w:eastAsia="仿宋" w:cs="仿宋"/>
          <w:b/>
          <w:bCs/>
          <w:color w:val="0070C0"/>
          <w:sz w:val="28"/>
          <w:szCs w:val="28"/>
          <w:lang w:val="en-US" w:eastAsia="zh-CN"/>
        </w:rPr>
        <w:t>3.企业风采</w:t>
      </w:r>
    </w:p>
    <w:p>
      <w:pPr>
        <w:rPr>
          <w:rFonts w:hint="eastAsia" w:ascii="仿宋" w:hAnsi="仿宋" w:eastAsia="仿宋" w:cs="仿宋"/>
          <w:b/>
          <w:bCs/>
          <w:sz w:val="28"/>
          <w:szCs w:val="36"/>
        </w:rPr>
      </w:pPr>
      <w:r>
        <w:rPr>
          <w:rFonts w:hint="eastAsia" w:ascii="仿宋" w:hAnsi="仿宋" w:eastAsia="仿宋" w:cs="仿宋"/>
          <w:b/>
          <w:bCs/>
          <w:color w:val="auto"/>
          <w:sz w:val="28"/>
          <w:szCs w:val="28"/>
          <w:lang w:val="en-US" w:eastAsia="zh-CN"/>
        </w:rPr>
        <w:t xml:space="preserve">3.1  </w:t>
      </w:r>
      <w:r>
        <w:rPr>
          <w:rFonts w:hint="eastAsia" w:ascii="仿宋" w:hAnsi="仿宋" w:eastAsia="仿宋" w:cs="仿宋"/>
          <w:b/>
          <w:bCs/>
          <w:sz w:val="28"/>
          <w:szCs w:val="36"/>
        </w:rPr>
        <w:t>再签单！太重铸造起重机迎来海外“回头客”</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近日，太重成功中标海外某用户多台550t铸造起重机。值得一提的是，该项目是双方继曾经两次成功合作之后的又一次“牵手”，连续签单合作的背后是国际市场对太重产品的充分认可，更是海外用户对太重品牌的满满信任。</w:t>
      </w:r>
    </w:p>
    <w:p>
      <w:pPr>
        <w:spacing w:line="360" w:lineRule="auto"/>
        <w:ind w:firstLine="480" w:firstLineChars="200"/>
        <w:rPr>
          <w:rFonts w:hint="eastAsia" w:ascii="Microsoft YaHei UI" w:hAnsi="Microsoft YaHei UI" w:eastAsia="Microsoft YaHei UI" w:cs="Microsoft YaHei UI"/>
          <w:i w:val="0"/>
          <w:iCs w:val="0"/>
          <w:caps w:val="0"/>
          <w:spacing w:val="5"/>
          <w:kern w:val="0"/>
          <w:sz w:val="17"/>
          <w:szCs w:val="17"/>
          <w:shd w:val="clear" w:fill="FFFFFF"/>
          <w:lang w:val="en-US" w:eastAsia="zh-CN" w:bidi="ar"/>
        </w:rPr>
      </w:pPr>
      <w:r>
        <w:rPr>
          <w:rFonts w:hint="eastAsia" w:ascii="仿宋" w:hAnsi="仿宋" w:eastAsia="仿宋" w:cs="仿宋"/>
          <w:sz w:val="24"/>
          <w:szCs w:val="32"/>
          <w:lang w:val="en-US" w:eastAsia="zh-CN"/>
        </w:rPr>
        <w:t>太重是全球唯一一个以世界最大的1300t水电站桥式起重机和550t铸造起重机为代表的全系列起重机生产基地。近年来，公司集中优质资源合力攻关关键核心技术，持续提高科技成果转化和产业化水平，为用户提供全生命周期服务，推动传统产业改造升级、更新换代，展现了出色的综合实力。在海外市场，太重起重机围绕用户需求深耕细作、把握产业先机多措并举，以卓越的性能和质量赢得了口碑和信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iCs w:val="0"/>
          <w:caps w:val="0"/>
          <w:spacing w:val="5"/>
        </w:rPr>
      </w:pPr>
      <w:r>
        <w:rPr>
          <w:rFonts w:hint="eastAsia" w:ascii="Microsoft YaHei UI" w:hAnsi="Microsoft YaHei UI" w:eastAsia="Microsoft YaHei UI" w:cs="Microsoft YaHei UI"/>
          <w:i w:val="0"/>
          <w:iCs w:val="0"/>
          <w:caps w:val="0"/>
          <w:spacing w:val="5"/>
          <w:kern w:val="0"/>
          <w:sz w:val="24"/>
          <w:szCs w:val="24"/>
          <w:shd w:val="clear" w:fill="FFFFFF"/>
          <w:lang w:val="en-US" w:eastAsia="zh-CN" w:bidi="ar"/>
        </w:rPr>
        <w:drawing>
          <wp:inline distT="0" distB="0" distL="114300" distR="114300">
            <wp:extent cx="4280535" cy="3210560"/>
            <wp:effectExtent l="0" t="0" r="12065" b="2540"/>
            <wp:docPr id="15" name="图片 1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57"/>
                    <pic:cNvPicPr>
                      <a:picLocks noChangeAspect="1"/>
                    </pic:cNvPicPr>
                  </pic:nvPicPr>
                  <pic:blipFill>
                    <a:blip r:embed="rId26"/>
                    <a:stretch>
                      <a:fillRect/>
                    </a:stretch>
                  </pic:blipFill>
                  <pic:spPr>
                    <a:xfrm>
                      <a:off x="0" y="0"/>
                      <a:ext cx="4280535" cy="3210560"/>
                    </a:xfrm>
                    <a:prstGeom prst="rect">
                      <a:avLst/>
                    </a:prstGeom>
                    <a:noFill/>
                    <a:ln w="9525">
                      <a:noFill/>
                    </a:ln>
                  </pic:spPr>
                </pic:pic>
              </a:graphicData>
            </a:graphic>
          </wp:inline>
        </w:drawing>
      </w:r>
    </w:p>
    <w:p>
      <w:pPr>
        <w:spacing w:line="360" w:lineRule="auto"/>
        <w:ind w:firstLine="480" w:firstLineChars="200"/>
        <w:rPr>
          <w:rFonts w:hint="eastAsia" w:ascii="仿宋" w:hAnsi="仿宋" w:eastAsia="仿宋" w:cs="仿宋"/>
          <w:b/>
          <w:bCs/>
          <w:color w:val="auto"/>
          <w:sz w:val="28"/>
          <w:szCs w:val="28"/>
          <w:lang w:val="en-US" w:eastAsia="zh-CN"/>
        </w:rPr>
      </w:pPr>
      <w:r>
        <w:rPr>
          <w:rFonts w:hint="eastAsia" w:ascii="仿宋" w:hAnsi="仿宋" w:eastAsia="仿宋" w:cs="仿宋"/>
          <w:sz w:val="24"/>
          <w:szCs w:val="32"/>
          <w:lang w:val="en-US" w:eastAsia="zh-CN"/>
        </w:rPr>
        <w:t xml:space="preserve">此次与公司合作的用户在钢铁冶炼特别是环保炼钢领域有着丰富的经验，从事各种板材、长材生产制造。此次项目铸造起重机将用于极端高温、高粉尘的作业环境，对设备安全性、稳定性以及应急监控系统的灵敏度提出极高要求，太重自主设计生产的铸造起重机在性能和质量上都完美满足用户需求。在项目前期沟通过程中，营销人员克服时差，常常加班至深夜，同用户开展线上视频会议，进行技术问题交流，深度对接用户需求。同时，公司各部门充分发挥国际市场SBU项目组产、销、研一体的团队作战优势，从项目信息收集开始，快速响应、积极跟进，根据实际作业环境为用户量身定制技术服务方案，最终为用户制定出结构简单、安全可靠、传动环节少、受力合理的液态熔融金属起吊运输解决方案，得到了用户的认可。“数据详尽、方案可行、质量可靠，铸造起重机我们认定太重！为你们点赞！”用户的认可就是最大的动力，用户的满意就是最大的成就。在这场激烈的竞争中，公司营销和技术团队凭借着专业优质的技术方案和个性化的服务成功签单，为后续产品的高效率生产和高质量交货提供了重要支撑。新型工业化是高水平开放的工业化。未来，公司将继续聚焦“高端化、智能化、绿色化、国产化”产品发展方向，加快产业结构优化升级，增强开放发展能力，全面铺开产品线，以更强的技术、质量和超预期服务向全球各地输出更多太重产品，高质量落实新型工业化，推动“太重制造”昂首阔步“走出去”！来源：太重集团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outlineLvl w:val="9"/>
        <w:rPr>
          <w:rFonts w:hint="eastAsia" w:ascii="仿宋" w:hAnsi="仿宋" w:eastAsia="仿宋" w:cs="仿宋"/>
          <w:b/>
          <w:bCs/>
          <w:color w:val="auto"/>
          <w:sz w:val="28"/>
          <w:szCs w:val="28"/>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outlineLvl w:val="9"/>
        <w:rPr>
          <w:rFonts w:hint="eastAsia" w:ascii="仿宋" w:hAnsi="仿宋" w:eastAsia="仿宋" w:cs="仿宋"/>
          <w:sz w:val="28"/>
          <w:szCs w:val="28"/>
        </w:rPr>
      </w:pPr>
      <w:r>
        <w:rPr>
          <w:rFonts w:hint="eastAsia" w:ascii="仿宋" w:hAnsi="仿宋" w:eastAsia="仿宋" w:cs="仿宋"/>
          <w:b/>
          <w:bCs/>
          <w:color w:val="auto"/>
          <w:sz w:val="28"/>
          <w:szCs w:val="28"/>
          <w:lang w:val="en-US" w:eastAsia="zh-CN"/>
        </w:rPr>
        <w:t xml:space="preserve">3.2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提高生产科技含量  提升企业核心竞争力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Segoe UI" w:hAnsi="Segoe UI" w:eastAsia="Segoe UI" w:cs="Segoe UI"/>
          <w:i w:val="0"/>
          <w:iCs w:val="0"/>
          <w:caps w:val="0"/>
          <w:color w:val="333333"/>
          <w:spacing w:val="0"/>
          <w:sz w:val="19"/>
          <w:szCs w:val="19"/>
        </w:rPr>
      </w:pPr>
      <w:r>
        <w:rPr>
          <w:rFonts w:hint="default" w:ascii="Segoe UI" w:hAnsi="Segoe UI" w:eastAsia="Segoe UI" w:cs="Segoe UI"/>
          <w:i w:val="0"/>
          <w:iCs w:val="0"/>
          <w:caps w:val="0"/>
          <w:color w:val="333333"/>
          <w:spacing w:val="0"/>
          <w:kern w:val="0"/>
          <w:sz w:val="19"/>
          <w:szCs w:val="19"/>
          <w:shd w:val="clear" w:fill="FFFFFF"/>
          <w:lang w:val="en-US" w:eastAsia="zh-CN" w:bidi="ar"/>
        </w:rPr>
        <w:drawing>
          <wp:inline distT="0" distB="0" distL="114300" distR="114300">
            <wp:extent cx="4563110" cy="3042285"/>
            <wp:effectExtent l="0" t="0" r="8890" b="5715"/>
            <wp:docPr id="1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MG_256"/>
                    <pic:cNvPicPr>
                      <a:picLocks noChangeAspect="1"/>
                    </pic:cNvPicPr>
                  </pic:nvPicPr>
                  <pic:blipFill>
                    <a:blip r:embed="rId27"/>
                    <a:stretch>
                      <a:fillRect/>
                    </a:stretch>
                  </pic:blipFill>
                  <pic:spPr>
                    <a:xfrm>
                      <a:off x="0" y="0"/>
                      <a:ext cx="4563110" cy="3042285"/>
                    </a:xfrm>
                    <a:prstGeom prst="rect">
                      <a:avLst/>
                    </a:prstGeom>
                    <a:noFill/>
                    <a:ln w="9525">
                      <a:noFill/>
                    </a:ln>
                  </pic:spPr>
                </pic:pic>
              </a:graphicData>
            </a:graphic>
          </wp:inline>
        </w:drawing>
      </w:r>
    </w:p>
    <w:p>
      <w:pPr>
        <w:spacing w:line="360" w:lineRule="auto"/>
        <w:ind w:firstLine="480" w:firstLineChars="200"/>
        <w:rPr>
          <w:rFonts w:hint="eastAsia" w:ascii="仿宋" w:hAnsi="仿宋" w:eastAsia="仿宋" w:cs="仿宋"/>
          <w:b/>
          <w:bCs/>
          <w:sz w:val="28"/>
          <w:szCs w:val="36"/>
          <w:lang w:val="en-US" w:eastAsia="zh-CN"/>
        </w:rPr>
      </w:pPr>
      <w:r>
        <w:rPr>
          <w:rFonts w:hint="eastAsia" w:ascii="仿宋" w:hAnsi="仿宋" w:eastAsia="仿宋" w:cs="仿宋"/>
          <w:sz w:val="24"/>
          <w:szCs w:val="32"/>
          <w:lang w:val="en-US" w:eastAsia="zh-CN"/>
        </w:rPr>
        <w:t xml:space="preserve">12月4日，平遥华兴电机铸造有限公司自动化浇铸生产线有序运行。近年来，该公司注重“科技赋能”，大力实施传统铸造产业技改升级，从国内外引进新技术、新设备，先后打造了6条自动化、智能化、数字化生产线，提高生产科技含量，提升企业核心竞争力，推动企业高质量发展。  来源：华兴公司 </w:t>
      </w:r>
    </w:p>
    <w:p>
      <w:pPr>
        <w:spacing w:line="360" w:lineRule="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3.3 山西鼎泰银瑞过滤器制造股份有限公司</w:t>
      </w:r>
    </w:p>
    <w:p>
      <w:pPr>
        <w:spacing w:line="360" w:lineRule="auto"/>
        <w:jc w:val="cente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drawing>
          <wp:inline distT="0" distB="0" distL="114300" distR="114300">
            <wp:extent cx="4616450" cy="2405380"/>
            <wp:effectExtent l="0" t="0" r="6350" b="7620"/>
            <wp:docPr id="102" name="图片 102" descr="微信图片_20231229183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微信图片_20231229183747"/>
                    <pic:cNvPicPr>
                      <a:picLocks noChangeAspect="1"/>
                    </pic:cNvPicPr>
                  </pic:nvPicPr>
                  <pic:blipFill>
                    <a:blip r:embed="rId28"/>
                    <a:stretch>
                      <a:fillRect/>
                    </a:stretch>
                  </pic:blipFill>
                  <pic:spPr>
                    <a:xfrm>
                      <a:off x="0" y="0"/>
                      <a:ext cx="4616450" cy="2405380"/>
                    </a:xfrm>
                    <a:prstGeom prst="rect">
                      <a:avLst/>
                    </a:prstGeom>
                  </pic:spPr>
                </pic:pic>
              </a:graphicData>
            </a:graphic>
          </wp:inline>
        </w:drawing>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山西鼎泰银瑞过滤器制造股份有限公司是一家专业从事铸造用过滤器研究、开发、生产、经营的高新技术企业。初创于1997年，2003年正式成立临汾汇东过滤网有限公司，因业务扩展需求，2016年独立建立山西鼎泰银瑞过滤器制造有限公司，位于拥有丰富矿产资源的紫金山脚下，三晋古都铸造强市—侯马，与国内“球铁大王”建邦集团相距几里之遥。</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本公司自投建生产以来倍受当地政府重视，官方坊间有谚：“建邦的球铁、华翔的件、鼎泰的滤片也关键”这给我公司莫大的荣誉与鞭策。公司占地面积10000m,在职人员百余人，有年生产4500m的泡沫陶瓷生产线，年产300000m的纤维过滤网生产线，配有先进的生产检测和实验手段，特别是泡沫陶瓷生产线技术领先，工艺一流，配方独特，产品各项指标均达国际标准。经山西省机械产品监督检测总站检测，产品符合中华人民共和国国家标准GB/T25139-2010标准，我公司已通过GB/T19001-2015idtISO9001:2015GB/T19001-2015国际质量认证。</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产品主要销往台湾及全国各省份、地区。远销土耳其、印度、韩国、越南等国家。产品稳定而优良的品质一直享誉业界的好评。</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为了更好的使我公司不断进步，公司全体同仁热忱欢迎全国各地朋友来我公司参观、批评、指导，使我们互利互惠，共同发展，使我公司各方面更上一层楼！</w:t>
      </w:r>
    </w:p>
    <w:p>
      <w:pPr>
        <w:spacing w:line="360" w:lineRule="auto"/>
        <w:jc w:val="both"/>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联系方式：张先生 13935740513</w:t>
      </w:r>
    </w:p>
    <w:p>
      <w:pPr>
        <w:spacing w:line="360" w:lineRule="auto"/>
        <w:jc w:val="center"/>
        <w:rPr>
          <w:rFonts w:hint="eastAsia" w:ascii="仿宋" w:hAnsi="仿宋" w:eastAsia="仿宋" w:cs="仿宋"/>
          <w:b/>
          <w:bCs/>
          <w:sz w:val="28"/>
          <w:szCs w:val="36"/>
          <w:lang w:val="en-US" w:eastAsia="zh-CN"/>
        </w:rPr>
      </w:pPr>
      <w:r>
        <w:rPr>
          <w:rFonts w:hint="default" w:ascii="仿宋" w:hAnsi="仿宋" w:eastAsia="仿宋" w:cs="仿宋"/>
          <w:b/>
          <w:bCs/>
          <w:sz w:val="24"/>
          <w:szCs w:val="32"/>
          <w:lang w:val="en-US" w:eastAsia="zh-CN"/>
        </w:rPr>
        <w:drawing>
          <wp:inline distT="0" distB="0" distL="114300" distR="114300">
            <wp:extent cx="5121275" cy="3479800"/>
            <wp:effectExtent l="0" t="0" r="9525" b="0"/>
            <wp:docPr id="101" name="图片 101" descr="微信图片_20231229183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微信图片_20231229183315"/>
                    <pic:cNvPicPr>
                      <a:picLocks noChangeAspect="1"/>
                    </pic:cNvPicPr>
                  </pic:nvPicPr>
                  <pic:blipFill>
                    <a:blip r:embed="rId29"/>
                    <a:stretch>
                      <a:fillRect/>
                    </a:stretch>
                  </pic:blipFill>
                  <pic:spPr>
                    <a:xfrm>
                      <a:off x="0" y="0"/>
                      <a:ext cx="5121275" cy="3479800"/>
                    </a:xfrm>
                    <a:prstGeom prst="rect">
                      <a:avLst/>
                    </a:prstGeom>
                  </pic:spPr>
                </pic:pic>
              </a:graphicData>
            </a:graphic>
          </wp:inline>
        </w:drawing>
      </w:r>
    </w:p>
    <w:p>
      <w:pPr>
        <w:spacing w:line="360" w:lineRule="auto"/>
        <w:jc w:val="both"/>
        <w:rPr>
          <w:rFonts w:hint="eastAsia" w:ascii="仿宋" w:hAnsi="仿宋" w:eastAsia="仿宋" w:cs="仿宋"/>
          <w:sz w:val="24"/>
          <w:szCs w:val="32"/>
          <w:lang w:val="en-US" w:eastAsia="zh-CN"/>
        </w:rPr>
      </w:pPr>
      <w:r>
        <w:rPr>
          <w:rFonts w:hint="eastAsia" w:ascii="仿宋" w:hAnsi="仿宋" w:eastAsia="仿宋" w:cs="仿宋"/>
          <w:b/>
          <w:bCs/>
          <w:sz w:val="28"/>
          <w:szCs w:val="36"/>
          <w:lang w:val="en-US" w:eastAsia="zh-CN"/>
        </w:rPr>
        <w:t>3.4 翊恒新材料（山西）有限公司</w:t>
      </w:r>
    </w:p>
    <w:p>
      <w:pPr>
        <w:spacing w:line="360" w:lineRule="auto"/>
        <w:ind w:firstLine="480" w:firstLineChars="20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翊恒新材料是一家专为铸造企业提供质量稳定，性能优越的辅助材料公司。主要经营增碳剂，除渣剂，铸造涂料，球化剂，孕育剂等铸造辅材。公司成立以来以产品稳定，价格适宜，专项定制为核心理念服务客户。同时为客户提供一定技术服务，以及相关信息。  联系方式：乔敏18734862040（微信同号）</w:t>
      </w:r>
    </w:p>
    <w:p>
      <w:pPr>
        <w:spacing w:line="360" w:lineRule="auto"/>
        <w:ind w:firstLine="420" w:firstLineChars="200"/>
        <w:jc w:val="center"/>
        <w:rPr>
          <w:rFonts w:hint="eastAsia" w:ascii="仿宋" w:hAnsi="仿宋" w:eastAsia="仿宋" w:cs="仿宋"/>
          <w:b/>
          <w:bCs/>
          <w:color w:val="0070C0"/>
          <w:sz w:val="28"/>
          <w:szCs w:val="28"/>
          <w:lang w:val="en-US" w:eastAsia="zh-CN"/>
        </w:rPr>
      </w:pPr>
      <w:r>
        <w:rPr>
          <w:rFonts w:hint="eastAsia"/>
          <w:lang w:val="en-US" w:eastAsia="zh-CN"/>
        </w:rPr>
        <w:drawing>
          <wp:inline distT="0" distB="0" distL="114300" distR="114300">
            <wp:extent cx="1997710" cy="2803525"/>
            <wp:effectExtent l="0" t="0" r="8890" b="3175"/>
            <wp:docPr id="63" name="图片 63" descr="微信图片_2023072912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微信图片_20230729122011"/>
                    <pic:cNvPicPr>
                      <a:picLocks noChangeAspect="1"/>
                    </pic:cNvPicPr>
                  </pic:nvPicPr>
                  <pic:blipFill>
                    <a:blip r:embed="rId30"/>
                    <a:stretch>
                      <a:fillRect/>
                    </a:stretch>
                  </pic:blipFill>
                  <pic:spPr>
                    <a:xfrm>
                      <a:off x="0" y="0"/>
                      <a:ext cx="1997710" cy="280352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2058035" cy="2810510"/>
            <wp:effectExtent l="0" t="0" r="12065" b="8890"/>
            <wp:docPr id="66" name="图片 66" descr="微信图片_2023072915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微信图片_20230729151810"/>
                    <pic:cNvPicPr>
                      <a:picLocks noChangeAspect="1"/>
                    </pic:cNvPicPr>
                  </pic:nvPicPr>
                  <pic:blipFill>
                    <a:blip r:embed="rId31"/>
                    <a:srcRect t="10910" b="27779"/>
                    <a:stretch>
                      <a:fillRect/>
                    </a:stretch>
                  </pic:blipFill>
                  <pic:spPr>
                    <a:xfrm>
                      <a:off x="0" y="0"/>
                      <a:ext cx="2058035" cy="2810510"/>
                    </a:xfrm>
                    <a:prstGeom prst="rect">
                      <a:avLst/>
                    </a:prstGeom>
                  </pic:spPr>
                </pic:pic>
              </a:graphicData>
            </a:graphic>
          </wp:inline>
        </w:drawing>
      </w:r>
    </w:p>
    <w:p>
      <w:pPr>
        <w:spacing w:line="480" w:lineRule="exact"/>
        <w:rPr>
          <w:rFonts w:hint="default" w:ascii="仿宋" w:hAnsi="仿宋" w:eastAsia="仿宋" w:cs="仿宋"/>
          <w:b/>
          <w:bCs/>
          <w:color w:val="0070C0"/>
          <w:sz w:val="28"/>
          <w:szCs w:val="28"/>
          <w:lang w:val="en-US" w:eastAsia="zh-CN"/>
        </w:rPr>
      </w:pPr>
      <w:r>
        <w:rPr>
          <w:rFonts w:hint="eastAsia" w:ascii="仿宋" w:hAnsi="仿宋" w:eastAsia="仿宋" w:cs="仿宋"/>
          <w:b/>
          <w:bCs/>
          <w:color w:val="0070C0"/>
          <w:sz w:val="28"/>
          <w:szCs w:val="28"/>
          <w:lang w:val="en-US" w:eastAsia="zh-CN"/>
        </w:rPr>
        <w:t>4.政务信息</w:t>
      </w:r>
    </w:p>
    <w:p>
      <w:pPr>
        <w:spacing w:line="480" w:lineRule="exact"/>
        <w:rPr>
          <w:rFonts w:ascii="仿宋" w:hAnsi="仿宋" w:eastAsia="仿宋" w:cs="仿宋"/>
          <w:b/>
          <w:bCs/>
          <w:color w:val="0070C0"/>
          <w:sz w:val="28"/>
          <w:szCs w:val="28"/>
        </w:rPr>
      </w:pPr>
      <w:r>
        <w:rPr>
          <w:rFonts w:hint="eastAsia" w:ascii="仿宋" w:hAnsi="仿宋" w:eastAsia="仿宋" w:cs="仿宋"/>
          <w:b/>
          <w:bCs/>
          <w:color w:val="auto"/>
          <w:sz w:val="28"/>
          <w:szCs w:val="28"/>
          <w:lang w:val="en-US" w:eastAsia="zh-CN"/>
        </w:rPr>
        <w:t xml:space="preserve">4.1 </w:t>
      </w:r>
      <w:r>
        <w:rPr>
          <w:rFonts w:hint="eastAsia" w:ascii="仿宋" w:hAnsi="仿宋" w:eastAsia="仿宋" w:cs="仿宋"/>
          <w:b/>
          <w:bCs/>
          <w:color w:val="auto"/>
          <w:sz w:val="28"/>
          <w:szCs w:val="28"/>
        </w:rPr>
        <w:t>依据国民经济行业分类（GB/T 4754—2017）铸造门类分类为：</w:t>
      </w:r>
    </w:p>
    <w:p>
      <w:pPr>
        <w:spacing w:line="360" w:lineRule="auto"/>
        <w:rPr>
          <w:rFonts w:hint="eastAsia"/>
          <w:lang w:val="en-US" w:eastAsia="zh-CN"/>
        </w:rPr>
      </w:pPr>
      <w:r>
        <w:rPr>
          <w:rFonts w:hint="eastAsia" w:ascii="仿宋" w:hAnsi="仿宋" w:eastAsia="仿宋" w:cs="仿宋"/>
          <w:b/>
          <w:bCs/>
          <w:color w:val="auto"/>
          <w:sz w:val="28"/>
          <w:szCs w:val="28"/>
        </w:rPr>
        <w:t>大类C 制造业，</w:t>
      </w:r>
      <w:r>
        <w:rPr>
          <w:rFonts w:hint="eastAsia" w:ascii="仿宋" w:hAnsi="仿宋" w:eastAsia="仿宋" w:cs="仿宋"/>
          <w:color w:val="000000" w:themeColor="text1"/>
          <w:sz w:val="24"/>
          <w14:textFill>
            <w14:solidFill>
              <w14:schemeClr w14:val="tx1"/>
            </w14:solidFill>
          </w14:textFill>
        </w:rPr>
        <w:t>大类33，中类339；小类代码3391黑色金属铸造——指铸铁件、铸钢件等各种成品、半成品的制造。代码3392</w:t>
      </w:r>
      <w:r>
        <w:rPr>
          <w:rFonts w:hint="eastAsia" w:ascii="仿宋" w:hAnsi="仿宋" w:eastAsia="仿宋" w:cs="仿宋"/>
          <w:color w:val="000000" w:themeColor="text1"/>
          <w:sz w:val="24"/>
          <w14:textFill>
            <w14:solidFill>
              <w14:schemeClr w14:val="tx1"/>
            </w14:solidFill>
          </w14:textFill>
        </w:rPr>
        <w:tab/>
      </w:r>
      <w:r>
        <w:rPr>
          <w:rFonts w:hint="eastAsia" w:ascii="仿宋" w:hAnsi="仿宋" w:eastAsia="仿宋" w:cs="仿宋"/>
          <w:color w:val="000000" w:themeColor="text1"/>
          <w:sz w:val="24"/>
          <w14:textFill>
            <w14:solidFill>
              <w14:schemeClr w14:val="tx1"/>
            </w14:solidFill>
          </w14:textFill>
        </w:rPr>
        <w:t>有色金属铸造——指有色金属及其合金铸造的各种成品、半成品的制造。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360" w:lineRule="auto"/>
        <w:ind w:left="0" w:right="0"/>
        <w:outlineLvl w:val="9"/>
        <w:rPr>
          <w:rFonts w:hint="eastAsia" w:ascii="仿宋" w:hAnsi="仿宋" w:eastAsia="仿宋" w:cs="仿宋"/>
        </w:rPr>
      </w:pPr>
      <w:r>
        <w:rPr>
          <w:rFonts w:hint="eastAsia" w:ascii="仿宋" w:hAnsi="仿宋" w:eastAsia="仿宋" w:cs="仿宋"/>
          <w:b/>
          <w:bCs/>
          <w:color w:val="auto"/>
          <w:sz w:val="28"/>
          <w:szCs w:val="28"/>
          <w:lang w:val="en-US" w:eastAsia="zh-CN"/>
        </w:rPr>
        <w:t xml:space="preserve">4.2 </w:t>
      </w:r>
      <w:r>
        <w:rPr>
          <w:rFonts w:hint="eastAsia" w:ascii="仿宋" w:hAnsi="仿宋" w:eastAsia="仿宋" w:cs="仿宋"/>
          <w:lang w:val="en-US" w:eastAsia="zh-CN"/>
        </w:rPr>
        <w:t xml:space="preserve"> </w:t>
      </w:r>
      <w:r>
        <w:rPr>
          <w:rFonts w:hint="eastAsia" w:ascii="仿宋" w:hAnsi="仿宋" w:eastAsia="仿宋" w:cs="仿宋"/>
        </w:rPr>
        <w:t>“2+26”到“2+36”，谁进谁出？为何调整？</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国务院近日印发《空气质量持续改善行动计划》（以下简称《行动计划》）， 明确了今后一段时间大气污染治理的工作重点和行动举措。根据《行动计划》，大气污染防治重点区域为京津冀及周边地区、长三角地区和汾渭平原，但与此前相比，所涉及的城市范围有所调整。其中，京津冀及周边地区由原来的“2+26”城市调整为“2+36”城市。</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从“2+26”到“2+36”，有哪些城市调出，哪些城市加入，原因何在？记者进行了梳理。</w:t>
      </w:r>
    </w:p>
    <w:p>
      <w:pPr>
        <w:spacing w:line="360" w:lineRule="auto"/>
        <w:ind w:firstLine="482" w:firstLineChars="200"/>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“2+26”到“2+36”，新增14城，调出4城</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2017年，《京津冀及周边地区2017年大气污染防治工作方案》明确了“2+26”城市的大气污染控制任务，这是官方文件中首次提出“2+26”城市的概念。</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其中“2”指的是北京市和天津市。“26”指的是山西省太原、阳泉、长治、晋城，河南省郑州、开封、安阳、鹤壁、新乡、焦作、濮阳，山东省济南、淄博、济宁、德州、聊城、滨州、菏泽市，河北省石家庄、唐山、廊坊、保定、沧州、衡水、邢台、邯郸。</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根据当时的大气污染防治形势和科学研究结果，原环境保护部将“2+26”城市确定为京津冀空气污染的传播通道城市，作为大气污染防治的重中之重。</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最新出台的《行动计划》将“2+26”调整为“2+36”。其中“2”指的还是北京市和天津市。“36”指的是河北省石家庄、唐山、秦皇岛、邯郸、邢台、保定、沧州、廊坊、衡水市以及雄安新区和辛集、定州市，山东省济南、淄博、枣庄、东营、潍坊、济宁、泰安、日照、临沂、德州、聊城、滨州、菏泽市，河南省郑州、开封、洛阳、平顶山、安阳、鹤壁、新乡、焦作、濮阳、许昌、漯河、三门峡、商丘、周口市以及济源市。</w:t>
      </w:r>
    </w:p>
    <w:p>
      <w:pPr>
        <w:spacing w:line="360" w:lineRule="auto"/>
        <w:ind w:firstLine="482" w:firstLineChars="200"/>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根据空气质量改善现状</w:t>
      </w:r>
    </w:p>
    <w:p>
      <w:pPr>
        <w:spacing w:line="360" w:lineRule="auto"/>
        <w:ind w:firstLine="482" w:firstLineChars="200"/>
        <w:rPr>
          <w:rFonts w:hint="eastAsia" w:ascii="仿宋" w:hAnsi="仿宋" w:eastAsia="仿宋" w:cs="仿宋"/>
          <w:b/>
          <w:bCs/>
          <w:sz w:val="24"/>
          <w:szCs w:val="32"/>
        </w:rPr>
      </w:pPr>
      <w:r>
        <w:rPr>
          <w:rFonts w:hint="eastAsia" w:ascii="仿宋" w:hAnsi="仿宋" w:eastAsia="仿宋" w:cs="仿宋"/>
          <w:b/>
          <w:bCs/>
          <w:sz w:val="24"/>
          <w:szCs w:val="32"/>
          <w:lang w:val="en-US" w:eastAsia="zh-CN"/>
        </w:rPr>
        <w:t>以及大气传输特点进行调整</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生态环境部有关负责人近日在就《行动计划》答记者问时介绍，将京津冀及周边地区“2+26”变为“2+36”城市，是结合近年工作实际，综合考虑区域污染传输贡献、空气质量状况、行政管理需求等因素作出的调整。</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在此前十年的持续攻坚中发现，长三角地区和京津冀及周边交界地方，苏、皖、鲁、豫四省交界地区城市PM2.5浓度和原来京津冀及周边地区和汾渭平原的PM2.5浓度几乎接近，都是45微克/立方米左右，成为污染比较突出的地区。</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因此，从“2+26”调整为“2+36”，将PM2.5浓度较高的山东南部、河南中南部等城市纳入京津冀及周边地区，将山西省4个城市调出，</w:t>
      </w:r>
    </w:p>
    <w:p>
      <w:p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sz w:val="24"/>
          <w:szCs w:val="32"/>
          <w:lang w:val="en-US" w:eastAsia="zh-CN"/>
        </w:rPr>
        <w:t>一是消除了京津冀及周边地区和长三角地区之间的“空白地带”，使京津冀及周边地区和长三角地区连为一体，从而更有利于开展区域联防联控，有利于系统整体地解决大气污染问题。</w:t>
      </w:r>
    </w:p>
    <w:p>
      <w:pPr>
        <w:spacing w:line="360" w:lineRule="auto"/>
        <w:ind w:firstLine="482" w:firstLineChars="200"/>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二是调整后一个省份只在一个重点区域内，山西省相关城市不再纳入京津冀及周边地区转而纳入汾渭平原，有利于进一步降低相关行政成本。</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作为大气污染防治三大重点区域之一，《行动计划》对京津冀及周边地区提出了更严的任务措施、更多的政策支持和更高的目标要求，下一步，”2+36“城市将聚焦重点区域开展污染治理，充分发挥引领作用，推动区域空气质量持续改善。</w:t>
      </w:r>
    </w:p>
    <w:p>
      <w:p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sz w:val="24"/>
          <w:szCs w:val="32"/>
          <w:lang w:val="en-US" w:eastAsia="zh-CN"/>
        </w:rPr>
        <w:t xml:space="preserve"> </w:t>
      </w:r>
      <w:r>
        <w:rPr>
          <w:rFonts w:hint="eastAsia" w:ascii="仿宋" w:hAnsi="仿宋" w:eastAsia="仿宋" w:cs="仿宋"/>
          <w:sz w:val="24"/>
          <w:szCs w:val="32"/>
          <w:lang w:val="en-US" w:eastAsia="zh-CN"/>
        </w:rPr>
        <w:t xml:space="preserve">来源：中国环境 </w:t>
      </w:r>
    </w:p>
    <w:p>
      <w:pPr>
        <w:spacing w:line="360" w:lineRule="auto"/>
        <w:rPr>
          <w:rFonts w:hint="eastAsia" w:ascii="仿宋" w:hAnsi="仿宋" w:eastAsia="仿宋" w:cs="仿宋"/>
          <w:sz w:val="24"/>
          <w:szCs w:val="32"/>
        </w:rPr>
      </w:pPr>
      <w:r>
        <w:rPr>
          <w:rFonts w:hint="eastAsia" w:ascii="仿宋" w:hAnsi="仿宋" w:eastAsia="仿宋" w:cs="仿宋"/>
          <w:b/>
          <w:bCs/>
          <w:sz w:val="28"/>
          <w:szCs w:val="36"/>
          <w:lang w:val="en-US" w:eastAsia="zh-CN"/>
        </w:rPr>
        <w:t xml:space="preserve">4.3 </w:t>
      </w:r>
      <w:r>
        <w:rPr>
          <w:rFonts w:hint="eastAsia" w:ascii="仿宋" w:hAnsi="仿宋" w:eastAsia="仿宋" w:cs="仿宋"/>
          <w:b/>
          <w:bCs/>
          <w:sz w:val="28"/>
          <w:szCs w:val="36"/>
        </w:rPr>
        <w:t>国家发展改革委有关负责同志就《产业结构调整指导目录（2024年本）》答记者问</w:t>
      </w:r>
      <w:r>
        <w:rPr>
          <w:rFonts w:hint="eastAsia" w:ascii="仿宋" w:hAnsi="仿宋" w:eastAsia="仿宋" w:cs="仿宋"/>
          <w:b/>
          <w:bCs/>
          <w:sz w:val="28"/>
          <w:szCs w:val="36"/>
          <w:lang w:val="en-US" w:eastAsia="zh-CN"/>
        </w:rPr>
        <w:t xml:space="preserve">    </w:t>
      </w:r>
      <w:r>
        <w:rPr>
          <w:rFonts w:hint="eastAsia" w:ascii="仿宋" w:hAnsi="仿宋" w:eastAsia="仿宋" w:cs="仿宋"/>
          <w:sz w:val="24"/>
          <w:szCs w:val="32"/>
          <w:lang w:val="en-US" w:eastAsia="zh-CN"/>
        </w:rPr>
        <w:fldChar w:fldCharType="begin"/>
      </w:r>
      <w:r>
        <w:rPr>
          <w:rFonts w:hint="eastAsia" w:ascii="仿宋" w:hAnsi="仿宋" w:eastAsia="仿宋" w:cs="仿宋"/>
          <w:sz w:val="24"/>
          <w:szCs w:val="32"/>
          <w:lang w:val="en-US" w:eastAsia="zh-CN"/>
        </w:rPr>
        <w:instrText xml:space="preserve"> HYPERLINK "javascript:void(0);" </w:instrText>
      </w:r>
      <w:r>
        <w:rPr>
          <w:rFonts w:hint="eastAsia" w:ascii="仿宋" w:hAnsi="仿宋" w:eastAsia="仿宋" w:cs="仿宋"/>
          <w:sz w:val="24"/>
          <w:szCs w:val="32"/>
          <w:lang w:val="en-US" w:eastAsia="zh-CN"/>
        </w:rPr>
        <w:fldChar w:fldCharType="separate"/>
      </w:r>
      <w:r>
        <w:rPr>
          <w:rFonts w:hint="eastAsia" w:ascii="仿宋" w:hAnsi="仿宋" w:eastAsia="仿宋" w:cs="仿宋"/>
          <w:sz w:val="24"/>
          <w:szCs w:val="32"/>
        </w:rPr>
        <w:t>国家发展改革委</w:t>
      </w:r>
      <w:r>
        <w:rPr>
          <w:rFonts w:hint="eastAsia" w:ascii="仿宋" w:hAnsi="仿宋" w:eastAsia="仿宋" w:cs="仿宋"/>
          <w:sz w:val="24"/>
          <w:szCs w:val="32"/>
          <w:lang w:val="en-US" w:eastAsia="zh-CN"/>
        </w:rPr>
        <w:fldChar w:fldCharType="end"/>
      </w:r>
      <w:r>
        <w:rPr>
          <w:rFonts w:hint="eastAsia" w:ascii="仿宋" w:hAnsi="仿宋" w:eastAsia="仿宋" w:cs="仿宋"/>
          <w:sz w:val="24"/>
          <w:szCs w:val="32"/>
          <w:lang w:val="en-US" w:eastAsia="zh-CN"/>
        </w:rPr>
        <w:t> 2023-12-29 18:06 发表于北京</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2023年12月27日，国家发展改革委修订发布了《产业结构调整指导目录（2024年本）》，就社会各界关注的问题，记者采访了国家发展改革委有关负责同志。</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问：请介绍一下《目录（2024年本）》的修订背景</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根据《国务院关于发布实施〈产业结构调整暂行规定〉的决定》（国发〔2005〕40号），《产业结构调整指导目录》（以下简称《目录》）是引导社会投资方向、政府管理投资项目，制定实施财税、信贷、土地、进出口等政策的重要依据。《目录》由鼓励、限制和淘汰三类目录组成，上述三类之外且符合国家有关法律、法规和政策规定的为允许类，不列入《目录》。2005年，我委会同有关部门制订发布《目录（2005年本）》，2011年、2013年和2019年分别进行了修订或修正，最新发布的版本是《目录（2024年本）》，自2024年2月1日起正式施行。</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目录》作为一项基础性、综合性产业政策，涉及行业多、涵盖领域广，自制订发布以来，在加强和改善宏观调控、引导社会资源流向、促进产业结构调整和优化升级等方面发挥了重要作用。考虑到当前我国产业发展的内外部环境发生了深刻变化，为适应新形势新任务新要求，经研究，我委会同有关部门启动了本轮修订工作。</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问：请介绍一下《目录（2024年本）》的修订导向</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目录（2024年本）》坚持以习近平新时代中国特色社会主义思想为指导，深入贯彻党的二十大精神，落实中央财经委第一次会议部署，坚持把发展经济的着力点放在实体经济上，推进新型工业化，加快建设制造强国、质量强国、航天强国、交通强国、网络强国、数字中国，加快构建具有智能化、绿色化、融合化特征和符合完整性、先进性、安全性要求的现代化产业体系。政策导向是：</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（一）推动制造业</w:t>
      </w:r>
      <w:r>
        <w:rPr>
          <w:rFonts w:hint="eastAsia" w:ascii="仿宋" w:hAnsi="仿宋" w:eastAsia="仿宋" w:cs="仿宋"/>
          <w:b/>
          <w:bCs/>
          <w:color w:val="FF0000"/>
          <w:sz w:val="24"/>
          <w:szCs w:val="32"/>
        </w:rPr>
        <w:t>高端化、智能化、绿色化</w:t>
      </w:r>
      <w:r>
        <w:rPr>
          <w:rFonts w:hint="eastAsia" w:ascii="仿宋" w:hAnsi="仿宋" w:eastAsia="仿宋" w:cs="仿宋"/>
          <w:b/>
          <w:bCs/>
          <w:sz w:val="24"/>
          <w:szCs w:val="32"/>
        </w:rPr>
        <w:t>。</w:t>
      </w:r>
      <w:r>
        <w:rPr>
          <w:rFonts w:hint="eastAsia" w:ascii="仿宋" w:hAnsi="仿宋" w:eastAsia="仿宋" w:cs="仿宋"/>
          <w:sz w:val="24"/>
          <w:szCs w:val="32"/>
        </w:rPr>
        <w:t>持续增强制造业核心竞争力，推动质量提升和品牌建设，不断引领产业向中高端跃升。以智能制造为主攻方向推动产业技术变革和优化升级，加快推广应用智能制造新技术，推动制造业产业模式转变。鼓励绿色技术创新和绿色环保产业发展，推进重点领域节能降碳和绿色转型，坚决遏制高耗能、高排放、低水平项目盲目发展。</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（二）巩固优势产业领先地位。</w:t>
      </w:r>
      <w:r>
        <w:rPr>
          <w:rFonts w:hint="eastAsia" w:ascii="仿宋" w:hAnsi="仿宋" w:eastAsia="仿宋" w:cs="仿宋"/>
          <w:sz w:val="24"/>
          <w:szCs w:val="32"/>
        </w:rPr>
        <w:t>加快传统产业改造提升，提高先进产能比例，有效扩大优质供给。依法依规化解过剩产能、淘汰落后产能。大力发展壮大战略性新兴产业，加快发展数字经济，前瞻布局未来产业，构建产业发展新引擎。扎实推进农业现代化，巩固和提高粮食、重要农产品生产能力，强化农业科技和装备支撑。加快发展物联网，建设高效顺畅的流通体系。优化基础设施布局、结构、功能和系统集成，构建现代化基础设施体系。</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（三）在关系安全发展的领域加快补齐短板。</w:t>
      </w:r>
      <w:r>
        <w:rPr>
          <w:rFonts w:hint="eastAsia" w:ascii="仿宋" w:hAnsi="仿宋" w:eastAsia="仿宋" w:cs="仿宋"/>
          <w:sz w:val="24"/>
          <w:szCs w:val="32"/>
        </w:rPr>
        <w:t>加快实现高水平科技自立自强，以国家战略需求为导向，积聚力量进行原创性引领性科技攻关，坚决打赢关键核心技术攻坚战。加快推进产业基础再造和重大技术装备攻关，提升战略性资源供应保障能力。加强重点领域安全能力建设，增强产业体系抗冲击能力，确保粮食、能源资源、重要产业链供应链安全，守住不发生系统性风险底线。</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（四）构建优质高效的服务业新体系。</w:t>
      </w:r>
      <w:r>
        <w:rPr>
          <w:rFonts w:hint="eastAsia" w:ascii="仿宋" w:hAnsi="仿宋" w:eastAsia="仿宋" w:cs="仿宋"/>
          <w:sz w:val="24"/>
          <w:szCs w:val="32"/>
        </w:rPr>
        <w:t>推动现代服务业同先进制造业、现代农业深度融合，培育新业态新模式新路径。推动生产性服务业向专业化和价值链高端延伸，加快发展研发设计、现代物流、法律服务等服务业，加快推进服务业数字化。推动生活性服务业向高品质和多样化升级，加快发展健康、养老、托育、文化、旅游、体育、家政等服务业，加强公益性、基础性服务业供给。推进服务业标准化、品牌化建设。</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问：请介绍一下《目录（2024年本）》的基本情况和主要特点</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我们在广泛征求部门、行业协会、地方发展改革委和社会公众意见的基础上，修订形成了《目录（2024年本）》。《目录（2024年本）》共有条目1005条，其中鼓励类352条、限制类231条、淘汰类422条，仍沿用鼓励、限制、淘汰的管理分类，在保持总体连续稳定的同时，聚焦前期实施中的问题和各方意见建议，有针对性地对框架结构、行业设置、条目设置、表述规范等进行了调整优化，进一步增强指导性、可读性、实用性。与上一版相比，主要有以下特点：</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框架结构上，</w:t>
      </w:r>
      <w:r>
        <w:rPr>
          <w:rFonts w:hint="eastAsia" w:ascii="仿宋" w:hAnsi="仿宋" w:eastAsia="仿宋" w:cs="仿宋"/>
          <w:sz w:val="24"/>
          <w:szCs w:val="32"/>
        </w:rPr>
        <w:t>在篇首和章首增加了政策导向说明，介绍《目录》的基本情况、修订导向和相关政策，进一步增强指导功能。结合产业发展实际和国民经济行业分类，对行业设置进行调整优化，更好体现产业发展新趋势和行业管理新要求。</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行业设置上，</w:t>
      </w:r>
      <w:r>
        <w:rPr>
          <w:rFonts w:hint="eastAsia" w:ascii="仿宋" w:hAnsi="仿宋" w:eastAsia="仿宋" w:cs="仿宋"/>
          <w:sz w:val="24"/>
          <w:szCs w:val="32"/>
        </w:rPr>
        <w:t>鼓励类新增了“智能制造”“农业机械装备”“数控机床”“网络安全”等行业大类及相关领域有利于产业优化升级的条目，限制类、淘汰类中新增了“消防”“建筑”行业大类及相关领域不符合绿色发展和安全生产要求的条目。</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条目设置上，</w:t>
      </w:r>
      <w:r>
        <w:rPr>
          <w:rFonts w:hint="eastAsia" w:ascii="仿宋" w:hAnsi="仿宋" w:eastAsia="仿宋" w:cs="仿宋"/>
          <w:sz w:val="24"/>
          <w:szCs w:val="32"/>
        </w:rPr>
        <w:t>坚持市场化、法治化原则，强化安全、环保、能耗、质量等领域标准作用，落实工业重点领域能效标杆水平和基准水平等要求，推动重点领域节能降碳，避免简单以生产能力、装置规模等作为新增限制、淘汰依据。</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表述规范上，</w:t>
      </w:r>
      <w:r>
        <w:rPr>
          <w:rFonts w:hint="eastAsia" w:ascii="仿宋" w:hAnsi="仿宋" w:eastAsia="仿宋" w:cs="仿宋"/>
          <w:sz w:val="24"/>
          <w:szCs w:val="32"/>
        </w:rPr>
        <w:t>鼓励类主要发挥引导作用，在条目表述上主要根据不同行业发展阶段和特征，定量和定性相结合，宜粗则粗、宜细则细，对发展方向比较明确的领域，尽可能明确指标参数；对发展方向不明确的新产业新业态，则宜粗不宜细，仅作方向性描述。限制类、淘汰类目录涉及禁止新增、淘汰产能，为突出可操作性，避免因内涵不清出现的“一刀切”，条目表述要求能细则细，尽可能聚焦重点品种，明确指标和参数。</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条目数量上，</w:t>
      </w:r>
      <w:r>
        <w:rPr>
          <w:rFonts w:hint="eastAsia" w:ascii="仿宋" w:hAnsi="仿宋" w:eastAsia="仿宋" w:cs="仿宋"/>
          <w:sz w:val="24"/>
          <w:szCs w:val="32"/>
        </w:rPr>
        <w:t>总条目减少473条，其中鼓励类减少469条、限制类增加16条、淘汰类减少20条。鼓励类条目数量减少，主要是对同一类型的条目进行了归类整合，以更好突出《目录》体系化特点和实用性，合并后的《目录》鼓励类条目数量虽然减少，但鼓励方向更加聚焦、鼓励事项总体保持稳定。</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问：请介绍一下《目录（2024年本）》的实施机制</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根据有关规定，总的要求是对鼓励类项目，按照有关规定审批、核准或备案；对限制类项目，禁止新建，现有生产能力允许在一定期限内改造升级；对淘汰类项目，禁止投资并按规定期限淘汰。在贯彻实施《目录》时，各省、自治区、直辖市人民政府要结合本地区产业发展实际，采取具体措施，合理引导投资方向，鼓励和支持发展先进生产能力，依法依规限制和淘汰落后生产能力，防止盲目投资和低水平重复建设，切实推进产业结构优化升级。</w:t>
      </w:r>
    </w:p>
    <w:p>
      <w:pPr>
        <w:spacing w:line="24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 xml:space="preserve">4.4 </w:t>
      </w:r>
      <w:r>
        <w:rPr>
          <w:rFonts w:hint="eastAsia" w:ascii="仿宋" w:hAnsi="仿宋" w:eastAsia="仿宋" w:cs="仿宋"/>
          <w:b/>
          <w:bCs/>
          <w:sz w:val="28"/>
          <w:szCs w:val="28"/>
        </w:rPr>
        <w:t>高新技术企业认定由科技部变更为工信部！2024年企业申报高企重点注意以下几点！</w:t>
      </w:r>
    </w:p>
    <w:p>
      <w:pPr>
        <w:spacing w:line="360" w:lineRule="auto"/>
        <w:ind w:firstLine="480" w:firstLineChars="200"/>
        <w:rPr>
          <w:rFonts w:ascii="Calibri" w:hAnsi="Calibri" w:eastAsia="宋体" w:cs="Times New Roman"/>
          <w:kern w:val="0"/>
          <w:sz w:val="24"/>
          <w:szCs w:val="24"/>
          <w:lang w:val="en-US" w:eastAsia="zh-CN" w:bidi="ar"/>
        </w:rPr>
      </w:pPr>
      <w:r>
        <w:rPr>
          <w:rFonts w:hint="eastAsia" w:ascii="仿宋" w:hAnsi="仿宋" w:eastAsia="仿宋" w:cs="仿宋"/>
          <w:sz w:val="24"/>
          <w:szCs w:val="32"/>
        </w:rPr>
        <w:t>日前，国务院办公厅发布了《关于调整工业和信息化部职责机构编制的通知》，根据《党和国家机构改革方案》和《党中央、国务院议事协调机构优化调整方案》，重组科学技术部，将科学技术部的组织拟订高新技术发展及产业化规划和政策，指导科技服务业、技术市场、科技中介组织发展等职责划入工业和信息化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eastAsia="宋体" w:cs="Times New Roman"/>
          <w:kern w:val="0"/>
          <w:sz w:val="24"/>
          <w:szCs w:val="24"/>
          <w:lang w:val="en-US" w:eastAsia="zh-CN" w:bidi="ar"/>
        </w:rPr>
      </w:pPr>
      <w:r>
        <w:rPr>
          <w:rFonts w:hint="eastAsia" w:ascii="Microsoft YaHei UI" w:hAnsi="Microsoft YaHei UI" w:eastAsia="Microsoft YaHei UI" w:cs="Microsoft YaHei UI"/>
          <w:i w:val="0"/>
          <w:iCs w:val="0"/>
          <w:caps w:val="0"/>
          <w:spacing w:val="5"/>
          <w:kern w:val="0"/>
          <w:sz w:val="24"/>
          <w:szCs w:val="24"/>
          <w:shd w:val="clear" w:fill="FFFFFF"/>
          <w:lang w:val="en-US" w:eastAsia="zh-CN" w:bidi="ar"/>
        </w:rPr>
        <w:drawing>
          <wp:inline distT="0" distB="0" distL="114300" distR="114300">
            <wp:extent cx="5057140" cy="3632835"/>
            <wp:effectExtent l="0" t="0" r="10160" b="12065"/>
            <wp:docPr id="2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descr="IMG_258"/>
                    <pic:cNvPicPr>
                      <a:picLocks noChangeAspect="1"/>
                    </pic:cNvPicPr>
                  </pic:nvPicPr>
                  <pic:blipFill>
                    <a:blip r:embed="rId32"/>
                    <a:stretch>
                      <a:fillRect/>
                    </a:stretch>
                  </pic:blipFill>
                  <pic:spPr>
                    <a:xfrm>
                      <a:off x="0" y="0"/>
                      <a:ext cx="5057140" cy="3632835"/>
                    </a:xfrm>
                    <a:prstGeom prst="rect">
                      <a:avLst/>
                    </a:prstGeom>
                    <a:noFill/>
                    <a:ln w="9525">
                      <a:noFill/>
                    </a:ln>
                  </pic:spPr>
                </pic:pic>
              </a:graphicData>
            </a:graphic>
          </wp:inline>
        </w:drawing>
      </w:r>
    </w:p>
    <w:p>
      <w:pPr>
        <w:spacing w:line="360" w:lineRule="auto"/>
        <w:rPr>
          <w:rFonts w:hint="eastAsia" w:ascii="仿宋" w:hAnsi="仿宋" w:eastAsia="仿宋" w:cs="仿宋"/>
          <w:sz w:val="24"/>
          <w:szCs w:val="32"/>
        </w:rPr>
      </w:pP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2023年起随着高新技术企业认定工作由科技部门划归工信部门管理，这意味着申报要求和标准可能会发生变化。</w:t>
      </w:r>
    </w:p>
    <w:p>
      <w:pPr>
        <w:spacing w:line="360" w:lineRule="auto"/>
        <w:ind w:firstLine="480" w:firstLineChars="200"/>
        <w:rPr>
          <w:rFonts w:hint="default" w:ascii="仿宋" w:hAnsi="仿宋" w:eastAsia="仿宋" w:cs="仿宋"/>
          <w:b/>
          <w:bCs/>
          <w:sz w:val="24"/>
          <w:szCs w:val="32"/>
          <w:lang w:val="en-US"/>
        </w:rPr>
      </w:pPr>
      <w:r>
        <w:rPr>
          <w:rFonts w:hint="eastAsia" w:ascii="仿宋" w:hAnsi="仿宋" w:eastAsia="仿宋" w:cs="仿宋"/>
          <w:sz w:val="24"/>
          <w:szCs w:val="32"/>
        </w:rPr>
        <w:t>2024年即将到来，企业要准备新一轮的高新申报了！无论是新申报的企业，还是到期重新认定的企业，都要提前规划，才能更好地完成申报，提高成功率。</w:t>
      </w:r>
      <w:r>
        <w:rPr>
          <w:rFonts w:hint="eastAsia" w:ascii="仿宋" w:hAnsi="仿宋" w:eastAsia="仿宋" w:cs="仿宋"/>
          <w:sz w:val="24"/>
          <w:szCs w:val="32"/>
          <w:lang w:val="en-US" w:eastAsia="zh-CN"/>
        </w:rPr>
        <w:br w:type="textWrapping"/>
      </w:r>
      <w:r>
        <w:rPr>
          <w:rFonts w:hint="eastAsia" w:ascii="仿宋" w:hAnsi="仿宋" w:eastAsia="仿宋" w:cs="仿宋"/>
          <w:b/>
          <w:bCs/>
          <w:sz w:val="24"/>
          <w:szCs w:val="32"/>
          <w:lang w:val="en-US" w:eastAsia="zh-CN"/>
        </w:rPr>
        <w:t>重点注意：</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1.知识产权尽早规划布局</w:t>
      </w:r>
    </w:p>
    <w:p>
      <w:pPr>
        <w:spacing w:line="360" w:lineRule="auto"/>
        <w:rPr>
          <w:rFonts w:hint="eastAsia" w:ascii="仿宋" w:hAnsi="仿宋" w:eastAsia="仿宋" w:cs="仿宋"/>
          <w:sz w:val="24"/>
          <w:szCs w:val="32"/>
        </w:rPr>
      </w:pPr>
      <w:r>
        <w:rPr>
          <w:rFonts w:hint="eastAsia" w:ascii="仿宋" w:hAnsi="仿宋" w:eastAsia="仿宋" w:cs="仿宋"/>
          <w:sz w:val="24"/>
          <w:szCs w:val="32"/>
        </w:rPr>
        <w:t>①《高新技术企业认定管理工作指引》明确指出：“不具备知识产权的企业不能认定为高新技术企业”，由此可见，知识产权是高企申报必备条件！</w:t>
      </w:r>
    </w:p>
    <w:p>
      <w:pPr>
        <w:spacing w:line="360" w:lineRule="auto"/>
        <w:rPr>
          <w:rFonts w:hint="eastAsia" w:ascii="仿宋" w:hAnsi="仿宋" w:eastAsia="仿宋" w:cs="仿宋"/>
          <w:sz w:val="24"/>
          <w:szCs w:val="32"/>
        </w:rPr>
      </w:pPr>
      <w:r>
        <w:rPr>
          <w:rFonts w:hint="eastAsia" w:ascii="仿宋" w:hAnsi="仿宋" w:eastAsia="仿宋" w:cs="仿宋"/>
          <w:sz w:val="24"/>
          <w:szCs w:val="32"/>
        </w:rPr>
        <w:t>②企业可以通过自主研发、受让、受赠、并购等方式，获得核心自主知识产权。不同类别知识产权申报下证时间不同，所以必须提早准备！提早！再提早！</w:t>
      </w:r>
    </w:p>
    <w:p>
      <w:pPr>
        <w:spacing w:line="360" w:lineRule="auto"/>
        <w:rPr>
          <w:rFonts w:hint="eastAsia" w:ascii="仿宋" w:hAnsi="仿宋" w:eastAsia="仿宋" w:cs="仿宋"/>
          <w:sz w:val="24"/>
          <w:szCs w:val="32"/>
        </w:rPr>
      </w:pPr>
      <w:r>
        <w:rPr>
          <w:rFonts w:hint="eastAsia" w:ascii="仿宋" w:hAnsi="仿宋" w:eastAsia="仿宋" w:cs="仿宋"/>
          <w:sz w:val="24"/>
          <w:szCs w:val="32"/>
        </w:rPr>
        <w:t>③知识产权所有权应属于企业，所有权人必须为企业；核心知识产权有多个权属人时，只能由一个权属人在申请时使用。</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2.预先做好科技成果转化工作</w:t>
      </w:r>
    </w:p>
    <w:p>
      <w:pPr>
        <w:spacing w:line="360" w:lineRule="auto"/>
        <w:rPr>
          <w:rFonts w:hint="eastAsia" w:ascii="仿宋" w:hAnsi="仿宋" w:eastAsia="仿宋" w:cs="仿宋"/>
          <w:sz w:val="24"/>
          <w:szCs w:val="32"/>
        </w:rPr>
      </w:pPr>
      <w:r>
        <w:rPr>
          <w:rFonts w:hint="eastAsia" w:ascii="仿宋" w:hAnsi="仿宋" w:eastAsia="仿宋" w:cs="仿宋"/>
          <w:sz w:val="24"/>
          <w:szCs w:val="32"/>
        </w:rPr>
        <w:t>①科技成果是指通过科学研究与技术开发所产生的具有实用价值的成果（专利、版权等）。</w:t>
      </w:r>
    </w:p>
    <w:p>
      <w:pPr>
        <w:spacing w:line="360" w:lineRule="auto"/>
        <w:rPr>
          <w:rFonts w:hint="eastAsia" w:ascii="仿宋" w:hAnsi="仿宋" w:eastAsia="仿宋" w:cs="仿宋"/>
          <w:sz w:val="24"/>
          <w:szCs w:val="32"/>
        </w:rPr>
      </w:pPr>
      <w:r>
        <w:rPr>
          <w:rFonts w:hint="eastAsia" w:ascii="仿宋" w:hAnsi="仿宋" w:eastAsia="仿宋" w:cs="仿宋"/>
          <w:sz w:val="24"/>
          <w:szCs w:val="32"/>
        </w:rPr>
        <w:t>②科技成果转化能力的A类标准平均每年“5项及以上”，建议三年科技成果转化需要15项以上（最好16项）。</w:t>
      </w:r>
    </w:p>
    <w:p>
      <w:pPr>
        <w:spacing w:line="360" w:lineRule="auto"/>
        <w:rPr>
          <w:rFonts w:hint="eastAsia" w:ascii="仿宋" w:hAnsi="仿宋" w:eastAsia="仿宋" w:cs="仿宋"/>
          <w:sz w:val="24"/>
          <w:szCs w:val="32"/>
        </w:rPr>
      </w:pPr>
      <w:r>
        <w:rPr>
          <w:rFonts w:hint="eastAsia" w:ascii="仿宋" w:hAnsi="仿宋" w:eastAsia="仿宋" w:cs="仿宋"/>
          <w:sz w:val="24"/>
          <w:szCs w:val="32"/>
        </w:rPr>
        <w:t>③科技成果转化评价的数据，考察的是近3年内的转化，指的是企业申报前的连续3个会计年度，不包括申报当年。</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3.及时建立研发机构，规范组织管理</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由技术专家根据企业研究开发与技术创新组织管理的总体情况，结合以下几项评价，进行综合打分：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 w:hAnsi="仿宋" w:eastAsia="仿宋" w:cs="仿宋"/>
          <w:kern w:val="0"/>
          <w:sz w:val="24"/>
          <w:szCs w:val="32"/>
          <w:lang w:val="en-US" w:eastAsia="zh-CN" w:bidi="ar"/>
        </w:rPr>
      </w:pPr>
      <w:r>
        <w:rPr>
          <w:rFonts w:hint="eastAsia" w:ascii="Microsoft YaHei UI" w:hAnsi="Microsoft YaHei UI" w:eastAsia="Microsoft YaHei UI" w:cs="Microsoft YaHei UI"/>
          <w:i w:val="0"/>
          <w:iCs w:val="0"/>
          <w:caps w:val="0"/>
          <w:spacing w:val="5"/>
          <w:kern w:val="0"/>
          <w:sz w:val="24"/>
          <w:szCs w:val="24"/>
          <w:shd w:val="clear" w:fill="FFFFFF"/>
          <w:lang w:val="en-US" w:eastAsia="zh-CN" w:bidi="ar"/>
        </w:rPr>
        <w:drawing>
          <wp:inline distT="0" distB="0" distL="114300" distR="114300">
            <wp:extent cx="5120005" cy="1501775"/>
            <wp:effectExtent l="0" t="0" r="10795" b="9525"/>
            <wp:docPr id="2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descr="IMG_259"/>
                    <pic:cNvPicPr>
                      <a:picLocks noChangeAspect="1"/>
                    </pic:cNvPicPr>
                  </pic:nvPicPr>
                  <pic:blipFill>
                    <a:blip r:embed="rId33"/>
                    <a:stretch>
                      <a:fillRect/>
                    </a:stretch>
                  </pic:blipFill>
                  <pic:spPr>
                    <a:xfrm>
                      <a:off x="0" y="0"/>
                      <a:ext cx="5120005" cy="1501775"/>
                    </a:xfrm>
                    <a:prstGeom prst="rect">
                      <a:avLst/>
                    </a:prstGeom>
                    <a:noFill/>
                    <a:ln w="9525">
                      <a:noFill/>
                    </a:ln>
                  </pic:spPr>
                </pic:pic>
              </a:graphicData>
            </a:graphic>
          </wp:inline>
        </w:drawing>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4.提前规划年度销售额及净资产</w:t>
      </w:r>
    </w:p>
    <w:p>
      <w:pPr>
        <w:spacing w:line="360" w:lineRule="auto"/>
        <w:rPr>
          <w:rFonts w:hint="eastAsia" w:ascii="仿宋" w:hAnsi="仿宋" w:eastAsia="仿宋" w:cs="仿宋"/>
          <w:sz w:val="24"/>
          <w:szCs w:val="32"/>
        </w:rPr>
      </w:pPr>
      <w:r>
        <w:rPr>
          <w:rFonts w:hint="eastAsia" w:ascii="仿宋" w:hAnsi="仿宋" w:eastAsia="仿宋" w:cs="仿宋"/>
          <w:sz w:val="24"/>
          <w:szCs w:val="32"/>
        </w:rPr>
        <w:t>①企业成长性指标在创新能力评价中占20分，其中销售收入增长率和净资产增长率各占10分，净资产、销售收入年平均增长率达35%以上可获得满分。</w:t>
      </w:r>
    </w:p>
    <w:p>
      <w:pPr>
        <w:spacing w:line="360" w:lineRule="auto"/>
        <w:rPr>
          <w:rFonts w:hint="eastAsia" w:ascii="仿宋" w:hAnsi="仿宋" w:eastAsia="仿宋" w:cs="仿宋"/>
          <w:sz w:val="24"/>
          <w:szCs w:val="32"/>
        </w:rPr>
      </w:pPr>
      <w:r>
        <w:rPr>
          <w:rFonts w:hint="eastAsia" w:ascii="仿宋" w:hAnsi="仿宋" w:eastAsia="仿宋" w:cs="仿宋"/>
          <w:sz w:val="24"/>
          <w:szCs w:val="32"/>
        </w:rPr>
        <w:t>②财务数据无法修改需如实填写。</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5.研发费用提前归集</w:t>
      </w:r>
    </w:p>
    <w:p>
      <w:pPr>
        <w:spacing w:line="360" w:lineRule="auto"/>
        <w:rPr>
          <w:rFonts w:hint="eastAsia" w:ascii="仿宋" w:hAnsi="仿宋" w:eastAsia="仿宋" w:cs="仿宋"/>
          <w:sz w:val="24"/>
          <w:szCs w:val="32"/>
        </w:rPr>
      </w:pPr>
      <w:r>
        <w:rPr>
          <w:rFonts w:hint="eastAsia" w:ascii="仿宋" w:hAnsi="仿宋" w:eastAsia="仿宋" w:cs="仿宋"/>
          <w:sz w:val="24"/>
          <w:szCs w:val="32"/>
        </w:rPr>
        <w:t>①建议企业提前梳理高企申报前三年的研发项目立项报告以及验收、结项等文件资料，正确归集研发费用，由具有资质并符合《高新技术企业认定管理工作指引》相关条件的中介机构进行专项审计或鉴证。</w:t>
      </w:r>
    </w:p>
    <w:p>
      <w:pPr>
        <w:spacing w:line="360" w:lineRule="auto"/>
        <w:rPr>
          <w:rFonts w:hint="eastAsia" w:ascii="仿宋" w:hAnsi="仿宋" w:eastAsia="仿宋" w:cs="仿宋"/>
          <w:sz w:val="24"/>
          <w:szCs w:val="32"/>
        </w:rPr>
      </w:pPr>
      <w:r>
        <w:rPr>
          <w:rFonts w:hint="eastAsia" w:ascii="仿宋" w:hAnsi="仿宋" w:eastAsia="仿宋" w:cs="仿宋"/>
          <w:sz w:val="24"/>
          <w:szCs w:val="32"/>
        </w:rPr>
        <w:t>②企业应设置高企认定专用研发费用辅助核算账目，提供相关凭证及明细表。</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6.建立合理的人力资源体系</w:t>
      </w:r>
    </w:p>
    <w:p>
      <w:pPr>
        <w:spacing w:line="360" w:lineRule="auto"/>
        <w:ind w:firstLine="480" w:firstLineChars="200"/>
        <w:rPr>
          <w:rFonts w:hint="eastAsia" w:ascii="仿宋" w:hAnsi="仿宋" w:eastAsia="仿宋" w:cs="仿宋"/>
          <w:b/>
          <w:bCs/>
          <w:sz w:val="28"/>
          <w:szCs w:val="36"/>
          <w:lang w:val="en-US" w:eastAsia="zh-CN"/>
        </w:rPr>
      </w:pPr>
      <w:r>
        <w:rPr>
          <w:rFonts w:hint="eastAsia" w:ascii="仿宋" w:hAnsi="仿宋" w:eastAsia="仿宋" w:cs="仿宋"/>
          <w:sz w:val="24"/>
          <w:szCs w:val="32"/>
        </w:rPr>
        <w:t>在高企认定申报前一年，企业需要对科技人员进行盘点，核查是否满足占比10%以及工作时间的要求，提前对人员结构进行整体规划，做好调整。</w:t>
      </w:r>
      <w:r>
        <w:rPr>
          <w:rFonts w:hint="eastAsia" w:ascii="仿宋" w:hAnsi="仿宋" w:eastAsia="仿宋" w:cs="仿宋"/>
          <w:sz w:val="24"/>
          <w:szCs w:val="32"/>
          <w:lang w:val="en-US" w:eastAsia="zh-CN"/>
        </w:rPr>
        <w:t xml:space="preserve"> </w:t>
      </w:r>
      <w:r>
        <w:rPr>
          <w:rFonts w:hint="eastAsia" w:ascii="仿宋" w:hAnsi="仿宋" w:eastAsia="仿宋" w:cs="仿宋"/>
          <w:sz w:val="22"/>
          <w:szCs w:val="28"/>
          <w:lang w:val="en-US" w:eastAsia="zh-CN"/>
        </w:rPr>
        <w:t xml:space="preserve">来源：工信部 中国膜工业协会 </w:t>
      </w:r>
    </w:p>
    <w:p>
      <w:pPr>
        <w:spacing w:line="360" w:lineRule="auto"/>
        <w:rPr>
          <w:rFonts w:hint="eastAsia" w:ascii="仿宋" w:hAnsi="仿宋" w:eastAsia="仿宋" w:cs="仿宋"/>
          <w:b/>
          <w:bCs/>
          <w:sz w:val="28"/>
          <w:szCs w:val="28"/>
          <w:lang w:val="en-US" w:eastAsia="zh-CN"/>
        </w:rPr>
      </w:pPr>
      <w:r>
        <w:rPr>
          <w:rFonts w:hint="eastAsia" w:ascii="仿宋" w:hAnsi="仿宋" w:eastAsia="仿宋" w:cs="仿宋"/>
          <w:b/>
          <w:bCs/>
          <w:color w:val="0070C0"/>
          <w:sz w:val="28"/>
          <w:szCs w:val="28"/>
          <w:lang w:val="en-US" w:eastAsia="zh-CN"/>
        </w:rPr>
        <w:t>5.</w:t>
      </w:r>
      <w:r>
        <w:rPr>
          <w:rFonts w:hint="eastAsia" w:ascii="仿宋" w:hAnsi="仿宋" w:eastAsia="仿宋" w:cs="仿宋"/>
          <w:b/>
          <w:bCs/>
          <w:color w:val="0070C0"/>
          <w:sz w:val="28"/>
          <w:szCs w:val="28"/>
        </w:rPr>
        <w:t>团体标准</w:t>
      </w:r>
    </w:p>
    <w:p>
      <w:pPr>
        <w:spacing w:line="360" w:lineRule="auto"/>
        <w:rPr>
          <w:rFonts w:hint="eastAsia" w:ascii="仿宋" w:hAnsi="仿宋" w:eastAsia="仿宋" w:cs="仿宋"/>
          <w:b/>
          <w:bCs/>
          <w:sz w:val="28"/>
          <w:szCs w:val="36"/>
          <w:lang w:val="en-US" w:eastAsia="zh-CN"/>
        </w:rPr>
      </w:pPr>
      <w:r>
        <w:rPr>
          <w:rFonts w:hint="eastAsia" w:ascii="仿宋" w:hAnsi="仿宋" w:eastAsia="仿宋" w:cs="仿宋"/>
          <w:b/>
          <w:bCs/>
          <w:sz w:val="28"/>
          <w:szCs w:val="28"/>
          <w:lang w:val="en-US" w:eastAsia="zh-CN"/>
        </w:rPr>
        <w:t xml:space="preserve">5.1  </w:t>
      </w:r>
      <w:r>
        <w:rPr>
          <w:rFonts w:hint="eastAsia" w:ascii="仿宋" w:hAnsi="仿宋" w:eastAsia="仿宋" w:cs="仿宋"/>
          <w:b/>
          <w:bCs/>
          <w:sz w:val="28"/>
          <w:szCs w:val="28"/>
        </w:rPr>
        <w:t>标准化知识：</w:t>
      </w:r>
      <w:r>
        <w:rPr>
          <w:rFonts w:hint="eastAsia" w:ascii="仿宋" w:hAnsi="仿宋" w:eastAsia="仿宋" w:cs="仿宋"/>
          <w:b/>
          <w:bCs/>
          <w:sz w:val="28"/>
          <w:szCs w:val="36"/>
          <w:lang w:val="en-US" w:eastAsia="zh-CN"/>
        </w:rPr>
        <w:t xml:space="preserve"> 标准竞争的最高形式</w:t>
      </w:r>
    </w:p>
    <w:p>
      <w:p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sz w:val="24"/>
          <w:szCs w:val="32"/>
          <w:lang w:val="en-US" w:eastAsia="zh-CN"/>
        </w:rPr>
        <w:t>一标准就是新的贸易壁垒。</w:t>
      </w:r>
      <w:r>
        <w:rPr>
          <w:rFonts w:hint="eastAsia" w:ascii="仿宋" w:hAnsi="仿宋" w:eastAsia="仿宋" w:cs="仿宋"/>
          <w:sz w:val="24"/>
          <w:szCs w:val="32"/>
          <w:lang w:val="en-US" w:eastAsia="zh-CN"/>
        </w:rPr>
        <w:t>“标准竞争历来都是高于市场竞争、高于产品竞争的，其实质是利益与市场份额的重新分配。在当前全球一体化背景下，国际标准的变化甚至可以影响整个国家产业的兴衰存亡。”2017年7月20日，财富杂志发布了一年一度的世界五百强名单，中国公司有115家，其中来自大陆109家。每次世界五百强的名单出来，中国占到了100家以上，占了全球20%还多。但是，还是有很多人对中国制造业不了解，常常说中国制造业虽然大，但依然不是世界标准的制定者。这个说法目前看来，已经算是观点保守了，因为我们亲眼所见，中国正在用自己独有的节奏，在制造业领域发出越来越强的声音。</w:t>
      </w:r>
    </w:p>
    <w:p>
      <w:p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sz w:val="24"/>
          <w:szCs w:val="32"/>
          <w:lang w:val="en-US" w:eastAsia="zh-CN"/>
        </w:rPr>
        <w:t>二目前的华为正在往制定5G的标准路上一路狂奔。</w:t>
      </w:r>
      <w:r>
        <w:rPr>
          <w:rFonts w:hint="eastAsia" w:ascii="仿宋" w:hAnsi="仿宋" w:eastAsia="仿宋" w:cs="仿宋"/>
          <w:sz w:val="24"/>
          <w:szCs w:val="32"/>
          <w:lang w:val="en-US" w:eastAsia="zh-CN"/>
        </w:rPr>
        <w:t>在2G、3G、4G时代，通信核心技术大多被高通、爱立信等国外企业垄断，但是截至2018年7月27日，Polar码技术领域共有103族专利，其中华为占据半壁江山，拥有51族专利，占比49.5%；爱立信位居第二，拥有26族，占总数的25.2%，美国Inter Digital公司以7族6.8%的占比位列第三。仅仅是去年华为就在产品研发商整整投入了近900亿人民币，获得专利的更是超过了7万件，其中仅仅是在5G项目上就达到了1481个，5G专利排全球第一，完全将高通等国际对手甩在了背后！特高压是世界上最先进的输电技术，2016年1月11日， 准东-皖南(新疆昌吉-安徽宣城)±1100千伏特高压直流输电工程开工建设。这是目前世界上电压等级最高、输送容量最大、输送距离最远、技术水平最先进的特高压输电工程。在过去二十年中，虽然中国周边国家和地区的大面积停电事故频发，但无一起发生在中国电网，电网安全运行水平已达世界领先水平。把西部这些清洁能源输送到中东部地区，需要跨越3000多公里以上的距离，要解决这么远距离的能源输送，全世界只有中国全面掌握并且开始大规模工程应用的技术。要使用特高压直流输电技术，离不开一些关键的设备，具体包括：换流阀、换流变压器、平波电抗器、直流滤波器和避雷器，其中在换流阀和换流变压器上，中国的制造技术国际领先，打破了ABB和西门子对这一技术的垄断。中国跨越3000多公里送电的特高压技术的成熟，让跨国跨州电力联网成为可能，目前，中国正在加速推进全球能源互联互通，特高压项目在国外不断落地。目前，中国共制定特高压输电国际标准14项、国家标准50项、行业标准73项、企业标准189项，全世界都在使用中国的这一套标准。中国拥有世界最大的高速铁路网，中国的高铁运营里程占全世界的70%，遍布世界4大洲20多个国家，这是一个令人目瞪口呆的数据。从世界上里程最长的京广高铁，商业运营速度最快的京沪高铁，到横跨亚欧大陆的莫斯科-克山-叶卡捷琳堡高铁，中国高铁已经逐步取代了欧标和日标。在2016年9月的第39届国际标准化组织大会上，中国标准正式被确定为世界通用标准。我国自主核心技术研制生产的特殊结构、特殊用途钢丝等十几种新产品填补了行业空白、打破国外垄断。由我国主导制定对钢丝绳的分类、材料、技术指标、验收条件等的规范《钢丝绳——要求》，日前正式成为国际标准，并成为国际钢丝绳行业的基础标准。</w:t>
      </w:r>
    </w:p>
    <w:p>
      <w:pPr>
        <w:spacing w:line="360" w:lineRule="auto"/>
        <w:ind w:firstLine="482" w:firstLineChars="200"/>
        <w:rPr>
          <w:rFonts w:hint="default" w:ascii="仿宋" w:hAnsi="仿宋" w:eastAsia="仿宋" w:cs="仿宋"/>
          <w:b/>
          <w:bCs/>
          <w:sz w:val="28"/>
          <w:szCs w:val="36"/>
          <w:lang w:val="en-US" w:eastAsia="zh-CN"/>
        </w:rPr>
      </w:pPr>
      <w:r>
        <w:rPr>
          <w:rFonts w:hint="eastAsia" w:ascii="仿宋" w:hAnsi="仿宋" w:eastAsia="仿宋" w:cs="仿宋"/>
          <w:b/>
          <w:bCs/>
          <w:sz w:val="24"/>
          <w:szCs w:val="32"/>
          <w:lang w:val="en-US" w:eastAsia="zh-CN"/>
        </w:rPr>
        <w:t>三同样，在数字电视领域，中国数字电视标准成为国际电信联盟国际标准后，已被全球14个国家采用，覆盖全球近20亿人口，带动了中国多个数字电视品牌走出国门。8月27日，2018年国际量子密码会议在沪开幕。</w:t>
      </w:r>
      <w:r>
        <w:rPr>
          <w:rFonts w:hint="eastAsia" w:ascii="仿宋" w:hAnsi="仿宋" w:eastAsia="仿宋" w:cs="仿宋"/>
          <w:sz w:val="24"/>
          <w:szCs w:val="32"/>
          <w:lang w:val="en-US" w:eastAsia="zh-CN"/>
        </w:rPr>
        <w:t>这是国际量子密码会议首次在中国举行，来自中、美、德、奥、英、法、日等国的500余位专家参会，共同探讨量子通信的发展趋势。中科院院士、中科大常务副校长潘建伟透露，奥、意、俄、日、加等国科研机构正在或试图与我国合作，包括联合制订量子通信国际标准。另外在核电，基建等领域，我国都有世界数一数二的运行经验，这些都是中国响彻海内外的“黄金名片”，短期内制定中国先进的标准是完全有信心的。如今，中国在国际标准制定方面的影响力和话语权日益增强，由中国提出和主导制定的国际标准数量逐年增加。中国已有189项标准提案成为ISO的国际标准，特别是在高铁、核电、通信、汽车等领域，中国在国际标准上实现了从跟随到引领的跨越。中国牵头制定的国际标准数量也在不断增加，以国际标准提案为核心，工信部推动我国企事业单位牵头开展343项国际标准制定，其中《智慧可持续发展城市总体规划》等197项我国标准成为国际标准，进一步提升了我国的国际标准话语权，增强了相关产业的国际竞争力。越来越多的“中国标准”成为“世界标准”，从而推动中国制造业向高标准转型升级。制造业是社会价值最重要的创造者，我为自己是中国制造业一员感到骄傲！ 来源：学习标准化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outlineLvl w:val="9"/>
        <w:rPr>
          <w:rFonts w:hint="eastAsia" w:ascii="Microsoft YaHei UI" w:hAnsi="Microsoft YaHei UI" w:eastAsia="Microsoft YaHei UI" w:cs="Microsoft YaHei UI"/>
          <w:spacing w:val="5"/>
          <w:kern w:val="0"/>
          <w:sz w:val="24"/>
          <w:szCs w:val="24"/>
          <w:lang w:val="en-US" w:eastAsia="zh-CN" w:bidi="ar"/>
        </w:rPr>
      </w:pPr>
      <w:r>
        <w:rPr>
          <w:rFonts w:hint="eastAsia" w:ascii="仿宋" w:hAnsi="仿宋" w:eastAsia="仿宋" w:cs="仿宋"/>
          <w:b/>
          <w:bCs/>
          <w:sz w:val="28"/>
          <w:szCs w:val="28"/>
          <w:lang w:val="en-US" w:eastAsia="zh-CN"/>
        </w:rPr>
        <w:t xml:space="preserve">5.2  </w:t>
      </w:r>
      <w:r>
        <w:rPr>
          <w:rFonts w:hint="eastAsia" w:ascii="仿宋" w:hAnsi="仿宋" w:eastAsia="仿宋" w:cs="仿宋"/>
          <w:bCs/>
          <w:i w:val="0"/>
          <w:iCs w:val="0"/>
          <w:caps w:val="0"/>
          <w:spacing w:val="5"/>
          <w:sz w:val="28"/>
          <w:szCs w:val="28"/>
          <w:shd w:val="clear" w:fill="FFFFFF"/>
          <w:lang w:bidi="ar"/>
        </w:rPr>
        <w:t>关键点！如何构建技术标准体系</w:t>
      </w:r>
    </w:p>
    <w:p>
      <w:pPr>
        <w:spacing w:line="360" w:lineRule="auto"/>
        <w:ind w:firstLine="480" w:firstLineChars="200"/>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技术标准体系是在一定领域内表达这个领域相关标准族的范围、边界、内部结构、逻辑关系以及意图，是标准制修订规划和计划的依据，是一种标准化模型，是支撑这个领域创新发展的重要手段。因此，了解与掌握技术标准体系的构建是十分重要的。</w:t>
      </w:r>
    </w:p>
    <w:p>
      <w:pPr>
        <w:numPr>
          <w:ilvl w:val="0"/>
          <w:numId w:val="0"/>
        </w:num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color w:val="FF0000"/>
          <w:sz w:val="24"/>
          <w:szCs w:val="32"/>
          <w:lang w:val="en-US" w:eastAsia="zh-CN"/>
        </w:rPr>
        <w:t>一、构建体系的基本原则。</w:t>
      </w:r>
      <w:r>
        <w:rPr>
          <w:rFonts w:hint="eastAsia" w:ascii="仿宋" w:hAnsi="仿宋" w:eastAsia="仿宋" w:cs="仿宋"/>
          <w:sz w:val="24"/>
          <w:szCs w:val="32"/>
          <w:lang w:val="en-US" w:eastAsia="zh-CN"/>
        </w:rPr>
        <w:t>构建技术标准体系实际上是标准化工作的一种方法，是开展标准化工作的基础，是标准化工作的顶层设计，构建技术标准化体系的基本原则应该十分清晰。</w:t>
      </w:r>
      <w:r>
        <w:rPr>
          <w:rFonts w:hint="eastAsia" w:ascii="仿宋" w:hAnsi="仿宋" w:eastAsia="仿宋" w:cs="仿宋"/>
          <w:b/>
          <w:bCs/>
          <w:color w:val="FF0000"/>
          <w:sz w:val="24"/>
          <w:szCs w:val="32"/>
          <w:lang w:val="en-US" w:eastAsia="zh-CN"/>
        </w:rPr>
        <w:t>一是目标明确原则。</w:t>
      </w:r>
      <w:r>
        <w:rPr>
          <w:rFonts w:hint="eastAsia" w:ascii="仿宋" w:hAnsi="仿宋" w:eastAsia="仿宋" w:cs="仿宋"/>
          <w:sz w:val="24"/>
          <w:szCs w:val="32"/>
          <w:lang w:val="en-US" w:eastAsia="zh-CN"/>
        </w:rPr>
        <w:t>标准体系是为业务目标服务的，构建标准体系应首先明确标准化目标。</w:t>
      </w:r>
      <w:r>
        <w:rPr>
          <w:rFonts w:hint="eastAsia" w:ascii="仿宋" w:hAnsi="仿宋" w:eastAsia="仿宋" w:cs="仿宋"/>
          <w:b/>
          <w:bCs/>
          <w:color w:val="FF0000"/>
          <w:sz w:val="24"/>
          <w:szCs w:val="32"/>
          <w:lang w:val="en-US" w:eastAsia="zh-CN"/>
        </w:rPr>
        <w:t>二是全面成套原则。</w:t>
      </w:r>
      <w:r>
        <w:rPr>
          <w:rFonts w:hint="eastAsia" w:ascii="仿宋" w:hAnsi="仿宋" w:eastAsia="仿宋" w:cs="仿宋"/>
          <w:sz w:val="24"/>
          <w:szCs w:val="32"/>
          <w:lang w:val="en-US" w:eastAsia="zh-CN"/>
        </w:rPr>
        <w:t>应围绕着技术标准体系的目标展开，体现在体系的整体性，即体系的子体系及子体系的全面、完整和标准明细表所列标准的全面完整成套。</w:t>
      </w:r>
      <w:r>
        <w:rPr>
          <w:rFonts w:hint="eastAsia" w:ascii="仿宋" w:hAnsi="仿宋" w:eastAsia="仿宋" w:cs="仿宋"/>
          <w:b/>
          <w:bCs/>
          <w:color w:val="FF0000"/>
          <w:sz w:val="24"/>
          <w:szCs w:val="32"/>
          <w:lang w:val="en-US" w:eastAsia="zh-CN"/>
        </w:rPr>
        <w:t>三是划分清楚原则。</w:t>
      </w:r>
      <w:r>
        <w:rPr>
          <w:rFonts w:hint="eastAsia" w:ascii="仿宋" w:hAnsi="仿宋" w:eastAsia="仿宋" w:cs="仿宋"/>
          <w:sz w:val="24"/>
          <w:szCs w:val="32"/>
          <w:lang w:val="en-US" w:eastAsia="zh-CN"/>
        </w:rPr>
        <w:t>技术标准体系表内的子体系或类别的划分，各子体系的范围和边界的确定，应该按照行业、专业或门类等标准化活动性质来划分，而不宜按行政机构的管辖范围划分。</w:t>
      </w:r>
      <w:r>
        <w:rPr>
          <w:rFonts w:hint="eastAsia" w:ascii="仿宋" w:hAnsi="仿宋" w:eastAsia="仿宋" w:cs="仿宋"/>
          <w:b/>
          <w:bCs/>
          <w:color w:val="FF0000"/>
          <w:sz w:val="24"/>
          <w:szCs w:val="32"/>
          <w:lang w:val="en-US" w:eastAsia="zh-CN"/>
        </w:rPr>
        <w:t>四是层次适当原则。</w:t>
      </w:r>
      <w:r>
        <w:rPr>
          <w:rFonts w:hint="eastAsia" w:ascii="仿宋" w:hAnsi="仿宋" w:eastAsia="仿宋" w:cs="仿宋"/>
          <w:sz w:val="24"/>
          <w:szCs w:val="32"/>
          <w:lang w:val="en-US" w:eastAsia="zh-CN"/>
        </w:rPr>
        <w:t>技术标准体系应该按照要求划分层次类别，一般情况是提取通用技术要求形成共性标准，并置于上层；基础标准宜置于较高层次，其他的技术标准要根据每个领域(或产品)的具体情况进行合理的划分，但技术标准体系建立后要便于理解，减少复杂性，标准体系的层次要适当，不宜太多。</w:t>
      </w:r>
      <w:r>
        <w:rPr>
          <w:rFonts w:hint="eastAsia" w:ascii="仿宋" w:hAnsi="仿宋" w:eastAsia="仿宋" w:cs="仿宋"/>
          <w:b/>
          <w:bCs/>
          <w:color w:val="FF0000"/>
          <w:sz w:val="24"/>
          <w:szCs w:val="32"/>
          <w:lang w:val="en-US" w:eastAsia="zh-CN"/>
        </w:rPr>
        <w:t>五是便于维护原则。</w:t>
      </w:r>
      <w:r>
        <w:rPr>
          <w:rFonts w:hint="eastAsia" w:ascii="仿宋" w:hAnsi="仿宋" w:eastAsia="仿宋" w:cs="仿宋"/>
          <w:sz w:val="24"/>
          <w:szCs w:val="32"/>
          <w:lang w:val="en-US" w:eastAsia="zh-CN"/>
        </w:rPr>
        <w:t>由于技术标准体系是根据关联领域(或产品)的更新与发展，动态地进行更新和发展的，所以在建立技术标准体系时，应该考虑该体系建完后的可扩充性、调整性和可维护性，通过维护来保证技术标准有较长的生命力。</w:t>
      </w:r>
    </w:p>
    <w:p>
      <w:pPr>
        <w:numPr>
          <w:ilvl w:val="0"/>
          <w:numId w:val="0"/>
        </w:num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color w:val="FF0000"/>
          <w:sz w:val="24"/>
          <w:szCs w:val="32"/>
          <w:lang w:val="en-US" w:eastAsia="zh-CN"/>
        </w:rPr>
        <w:t>二、技术标准体系构建流程。</w:t>
      </w:r>
      <w:r>
        <w:rPr>
          <w:rFonts w:hint="eastAsia" w:ascii="仿宋" w:hAnsi="仿宋" w:eastAsia="仿宋" w:cs="仿宋"/>
          <w:sz w:val="24"/>
          <w:szCs w:val="32"/>
          <w:lang w:val="en-US" w:eastAsia="zh-CN"/>
        </w:rPr>
        <w:t>技术标准体系的构建其实是运用一种系统的方法，来构建所要制定系列技术标准的结构图、技术标准明细表、技术标准统计表、技术标准体系编制说明。</w:t>
      </w:r>
    </w:p>
    <w:p>
      <w:pPr>
        <w:numPr>
          <w:ilvl w:val="0"/>
          <w:numId w:val="0"/>
        </w:num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color w:val="FF0000"/>
          <w:sz w:val="24"/>
          <w:szCs w:val="32"/>
          <w:lang w:val="en-US" w:eastAsia="zh-CN"/>
        </w:rPr>
        <w:t>一是确定目标。</w:t>
      </w:r>
      <w:r>
        <w:rPr>
          <w:rFonts w:hint="eastAsia" w:ascii="仿宋" w:hAnsi="仿宋" w:eastAsia="仿宋" w:cs="仿宋"/>
          <w:sz w:val="24"/>
          <w:szCs w:val="32"/>
          <w:lang w:val="en-US" w:eastAsia="zh-CN"/>
        </w:rPr>
        <w:t>在构建标准体系之前，应首先了解下列内容，以便于指导和统筹协调相关部门的标准体系构建工作：</w:t>
      </w:r>
    </w:p>
    <w:p>
      <w:pPr>
        <w:numPr>
          <w:ilvl w:val="0"/>
          <w:numId w:val="3"/>
        </w:numPr>
        <w:spacing w:line="360" w:lineRule="auto"/>
        <w:ind w:firstLine="482" w:firstLineChars="200"/>
        <w:rPr>
          <w:rFonts w:hint="eastAsia" w:ascii="仿宋" w:hAnsi="仿宋" w:eastAsia="仿宋" w:cs="仿宋"/>
          <w:b/>
          <w:bCs/>
          <w:sz w:val="24"/>
          <w:szCs w:val="32"/>
          <w:lang w:val="en-US" w:eastAsia="zh-CN"/>
        </w:rPr>
      </w:pPr>
      <w:r>
        <w:rPr>
          <w:rFonts w:hint="eastAsia" w:ascii="仿宋" w:hAnsi="仿宋" w:eastAsia="仿宋" w:cs="仿宋"/>
          <w:b/>
          <w:bCs/>
          <w:sz w:val="24"/>
          <w:szCs w:val="32"/>
          <w:lang w:val="en-US" w:eastAsia="zh-CN"/>
        </w:rPr>
        <w:t>了解标准化所支撑的业务战略；第二，明确标准体系建设的愿景、近期拟达到的目标；第三，确定实现标准化目标的标准化方针或策略(实施策略)、指导思想、基本原则；第四，确定标准体系的范围和边界；第五，组建有领导层、制定层、应用层参加的标准体系构建工作组。</w:t>
      </w:r>
    </w:p>
    <w:p>
      <w:pPr>
        <w:numPr>
          <w:ilvl w:val="0"/>
          <w:numId w:val="0"/>
        </w:numPr>
        <w:spacing w:line="360" w:lineRule="auto"/>
        <w:ind w:firstLine="482" w:firstLineChars="200"/>
        <w:rPr>
          <w:rFonts w:hint="eastAsia" w:ascii="仿宋" w:hAnsi="仿宋" w:eastAsia="仿宋" w:cs="仿宋"/>
          <w:b/>
          <w:bCs/>
          <w:sz w:val="24"/>
          <w:szCs w:val="32"/>
          <w:lang w:val="en-US" w:eastAsia="zh-CN"/>
        </w:rPr>
      </w:pPr>
      <w:r>
        <w:rPr>
          <w:rFonts w:hint="eastAsia" w:ascii="仿宋" w:hAnsi="仿宋" w:eastAsia="仿宋" w:cs="仿宋"/>
          <w:b/>
          <w:bCs/>
          <w:color w:val="FF0000"/>
          <w:sz w:val="24"/>
          <w:szCs w:val="32"/>
          <w:lang w:val="en-US" w:eastAsia="zh-CN"/>
        </w:rPr>
        <w:t>二是调査研究。</w:t>
      </w:r>
      <w:r>
        <w:rPr>
          <w:rFonts w:hint="eastAsia" w:ascii="仿宋" w:hAnsi="仿宋" w:eastAsia="仿宋" w:cs="仿宋"/>
          <w:sz w:val="24"/>
          <w:szCs w:val="32"/>
          <w:lang w:val="en-US" w:eastAsia="zh-CN"/>
        </w:rPr>
        <w:t>开展标准体系的调查研究，通常包括：</w:t>
      </w:r>
      <w:r>
        <w:rPr>
          <w:rFonts w:hint="eastAsia" w:ascii="仿宋" w:hAnsi="仿宋" w:eastAsia="仿宋" w:cs="仿宋"/>
          <w:b/>
          <w:bCs/>
          <w:sz w:val="24"/>
          <w:szCs w:val="32"/>
          <w:lang w:val="en-US" w:eastAsia="zh-CN"/>
        </w:rPr>
        <w:t>第一，标准体系建设的国内外情况；第二，现有的标准化基础，包括已制定的标准已开展的相关标准化研究项目和工作项目；第三，存在的标准化相关问题；第四，对标准体系的建设需求。</w:t>
      </w:r>
    </w:p>
    <w:p>
      <w:pPr>
        <w:numPr>
          <w:ilvl w:val="0"/>
          <w:numId w:val="0"/>
        </w:num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color w:val="FF0000"/>
          <w:sz w:val="24"/>
          <w:szCs w:val="32"/>
          <w:lang w:val="en-US" w:eastAsia="zh-CN"/>
        </w:rPr>
        <w:t>三是分析整理。</w:t>
      </w:r>
      <w:r>
        <w:rPr>
          <w:rFonts w:hint="eastAsia" w:ascii="仿宋" w:hAnsi="仿宋" w:eastAsia="仿宋" w:cs="仿宋"/>
          <w:sz w:val="24"/>
          <w:szCs w:val="32"/>
          <w:lang w:val="en-US" w:eastAsia="zh-CN"/>
        </w:rPr>
        <w:t>根据标准体系建设的方针、目标以及具体的标准化需求，借鉴国内外现有标准体系的结构框架，从标准的类型、专业领域、级别、功能、业务的生命周期等若干不同标准化对象的角度，对标准体系进行分析，从而确定标准体系的结构关系。</w:t>
      </w:r>
    </w:p>
    <w:p>
      <w:pPr>
        <w:numPr>
          <w:ilvl w:val="0"/>
          <w:numId w:val="0"/>
        </w:num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color w:val="FF0000"/>
          <w:sz w:val="24"/>
          <w:szCs w:val="32"/>
          <w:lang w:val="en-US" w:eastAsia="zh-CN"/>
        </w:rPr>
        <w:t>四是编制体系表。</w:t>
      </w:r>
      <w:r>
        <w:rPr>
          <w:rFonts w:hint="eastAsia" w:ascii="仿宋" w:hAnsi="仿宋" w:eastAsia="仿宋" w:cs="仿宋"/>
          <w:sz w:val="24"/>
          <w:szCs w:val="32"/>
          <w:lang w:val="en-US" w:eastAsia="zh-CN"/>
        </w:rPr>
        <w:t>包括：</w:t>
      </w:r>
      <w:r>
        <w:rPr>
          <w:rFonts w:hint="eastAsia" w:ascii="仿宋" w:hAnsi="仿宋" w:eastAsia="仿宋" w:cs="仿宋"/>
          <w:b/>
          <w:bCs/>
          <w:sz w:val="24"/>
          <w:szCs w:val="32"/>
          <w:lang w:val="en-US" w:eastAsia="zh-CN"/>
        </w:rPr>
        <w:t>第一 ，确定标准体系结构图。</w:t>
      </w:r>
      <w:r>
        <w:rPr>
          <w:rFonts w:hint="eastAsia" w:ascii="仿宋" w:hAnsi="仿宋" w:eastAsia="仿宋" w:cs="仿宋"/>
          <w:sz w:val="24"/>
          <w:szCs w:val="32"/>
          <w:lang w:val="en-US" w:eastAsia="zh-CN"/>
        </w:rPr>
        <w:t>要根据不同维度的标准分析的结果，选择恰当的维度作为标准体系框架的主要维度，编制标准体系结构图，编写标准体系结构的各级子体系，标准体系模块的内容说明。</w:t>
      </w:r>
      <w:r>
        <w:rPr>
          <w:rFonts w:hint="eastAsia" w:ascii="仿宋" w:hAnsi="仿宋" w:eastAsia="仿宋" w:cs="仿宋"/>
          <w:b/>
          <w:bCs/>
          <w:sz w:val="24"/>
          <w:szCs w:val="32"/>
          <w:lang w:val="en-US" w:eastAsia="zh-CN"/>
        </w:rPr>
        <w:t>第二，编制标准明细表。</w:t>
      </w:r>
      <w:r>
        <w:rPr>
          <w:rFonts w:hint="eastAsia" w:ascii="仿宋" w:hAnsi="仿宋" w:eastAsia="仿宋" w:cs="仿宋"/>
          <w:sz w:val="24"/>
          <w:szCs w:val="32"/>
          <w:lang w:val="en-US" w:eastAsia="zh-CN"/>
        </w:rPr>
        <w:t>收集整理拟采用的国际标准、国家标准等外部标准和本领域已有的内部标准，提出近期和将来规划拟制定的标准列表，编制标准明细表。</w:t>
      </w:r>
      <w:r>
        <w:rPr>
          <w:rFonts w:hint="eastAsia" w:ascii="仿宋" w:hAnsi="仿宋" w:eastAsia="仿宋" w:cs="仿宋"/>
          <w:b/>
          <w:bCs/>
          <w:sz w:val="24"/>
          <w:szCs w:val="32"/>
          <w:lang w:val="en-US" w:eastAsia="zh-CN"/>
        </w:rPr>
        <w:t>第三，编写标准体系表。</w:t>
      </w:r>
      <w:r>
        <w:rPr>
          <w:rFonts w:hint="eastAsia" w:ascii="仿宋" w:hAnsi="仿宋" w:eastAsia="仿宋" w:cs="仿宋"/>
          <w:sz w:val="24"/>
          <w:szCs w:val="32"/>
          <w:lang w:val="en-US" w:eastAsia="zh-CN"/>
        </w:rPr>
        <w:t>编写标准体系表的编制说明和相关内容。</w:t>
      </w:r>
    </w:p>
    <w:p>
      <w:pPr>
        <w:numPr>
          <w:ilvl w:val="0"/>
          <w:numId w:val="0"/>
        </w:numPr>
        <w:spacing w:line="360" w:lineRule="auto"/>
        <w:ind w:firstLine="482" w:firstLineChars="200"/>
        <w:rPr>
          <w:rFonts w:hint="eastAsia" w:ascii="仿宋" w:hAnsi="仿宋" w:eastAsia="仿宋" w:cs="仿宋"/>
          <w:sz w:val="24"/>
          <w:szCs w:val="32"/>
          <w:lang w:val="en-US" w:eastAsia="zh-CN"/>
        </w:rPr>
      </w:pPr>
      <w:r>
        <w:rPr>
          <w:rFonts w:hint="eastAsia" w:ascii="仿宋" w:hAnsi="仿宋" w:eastAsia="仿宋" w:cs="仿宋"/>
          <w:b/>
          <w:bCs/>
          <w:color w:val="FF0000"/>
          <w:sz w:val="24"/>
          <w:szCs w:val="32"/>
          <w:lang w:val="en-US" w:eastAsia="zh-CN"/>
        </w:rPr>
        <w:t>五是动态维护。</w:t>
      </w:r>
      <w:r>
        <w:rPr>
          <w:rFonts w:hint="eastAsia" w:ascii="仿宋" w:hAnsi="仿宋" w:eastAsia="仿宋" w:cs="仿宋"/>
          <w:sz w:val="24"/>
          <w:szCs w:val="32"/>
          <w:lang w:val="en-US" w:eastAsia="zh-CN"/>
        </w:rPr>
        <w:t>标准体系是一个动态的系统，在使用过程中应不断优化完善，并随着业务需求、技术发展的不断变化进行维护更新。</w:t>
      </w:r>
    </w:p>
    <w:p>
      <w:pPr>
        <w:keepNext w:val="0"/>
        <w:keepLines w:val="0"/>
        <w:widowControl/>
        <w:suppressLineNumbers w:val="0"/>
        <w:jc w:val="center"/>
        <w:rPr>
          <w:rFonts w:hint="eastAsia" w:ascii="仿宋" w:hAnsi="仿宋" w:eastAsia="仿宋" w:cs="仿宋"/>
          <w:b/>
          <w:bCs/>
          <w:color w:val="0070C0"/>
          <w:sz w:val="30"/>
          <w:szCs w:val="30"/>
          <w:lang w:val="en-US" w:eastAsia="zh-CN"/>
        </w:rPr>
      </w:pPr>
      <w:r>
        <w:rPr>
          <w:rFonts w:hint="eastAsia" w:ascii="仿宋" w:hAnsi="仿宋" w:eastAsia="仿宋" w:cs="仿宋"/>
          <w:b/>
          <w:bCs/>
          <w:color w:val="C00000"/>
          <w:sz w:val="24"/>
          <w:szCs w:val="32"/>
          <w:lang w:val="en-US" w:eastAsia="zh-CN"/>
        </w:rPr>
        <w:t xml:space="preserve"> </w:t>
      </w:r>
      <w:r>
        <w:rPr>
          <w:rFonts w:ascii="宋体" w:hAnsi="宋体" w:eastAsia="宋体" w:cs="宋体"/>
          <w:color w:val="auto"/>
          <w:sz w:val="0"/>
          <w:szCs w:val="0"/>
          <w:u w:val="none"/>
        </w:rPr>
        <w:drawing>
          <wp:inline distT="0" distB="0" distL="114300" distR="114300">
            <wp:extent cx="1283335" cy="1283335"/>
            <wp:effectExtent l="0" t="0" r="12065" b="12065"/>
            <wp:docPr id="107" name="图片 107" descr="IMG_256">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IMG_256"/>
                    <pic:cNvPicPr>
                      <a:picLocks noChangeAspect="1"/>
                    </pic:cNvPicPr>
                  </pic:nvPicPr>
                  <pic:blipFill>
                    <a:blip r:embed="rId35"/>
                    <a:stretch>
                      <a:fillRect/>
                    </a:stretch>
                  </pic:blipFill>
                  <pic:spPr>
                    <a:xfrm>
                      <a:off x="0" y="0"/>
                      <a:ext cx="1283335" cy="1283335"/>
                    </a:xfrm>
                    <a:prstGeom prst="rect">
                      <a:avLst/>
                    </a:prstGeom>
                    <a:noFill/>
                    <a:ln w="9525">
                      <a:noFill/>
                    </a:ln>
                  </pic:spPr>
                </pic:pic>
              </a:graphicData>
            </a:graphic>
          </wp:inline>
        </w:drawing>
      </w:r>
      <w:r>
        <w:rPr>
          <w:rFonts w:hint="eastAsia" w:ascii="宋体" w:hAnsi="宋体" w:eastAsia="宋体" w:cs="宋体"/>
          <w:color w:val="auto"/>
          <w:sz w:val="0"/>
          <w:szCs w:val="0"/>
          <w:u w:val="none"/>
          <w:lang w:val="en-US" w:eastAsia="zh-CN"/>
        </w:rPr>
        <w:t xml:space="preserve">    </w:t>
      </w:r>
      <w:r>
        <w:rPr>
          <w:rFonts w:ascii="宋体" w:hAnsi="宋体" w:eastAsia="宋体" w:cs="宋体"/>
          <w:color w:val="auto"/>
          <w:sz w:val="0"/>
          <w:szCs w:val="0"/>
          <w:u w:val="none"/>
        </w:rPr>
        <w:drawing>
          <wp:inline distT="0" distB="0" distL="114300" distR="114300">
            <wp:extent cx="1285240" cy="1285240"/>
            <wp:effectExtent l="0" t="0" r="10160" b="10160"/>
            <wp:docPr id="108" name="图片 108" descr="IMG_257">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IMG_257"/>
                    <pic:cNvPicPr>
                      <a:picLocks noChangeAspect="1"/>
                    </pic:cNvPicPr>
                  </pic:nvPicPr>
                  <pic:blipFill>
                    <a:blip r:embed="rId37"/>
                    <a:stretch>
                      <a:fillRect/>
                    </a:stretch>
                  </pic:blipFill>
                  <pic:spPr>
                    <a:xfrm>
                      <a:off x="0" y="0"/>
                      <a:ext cx="1285240" cy="1285240"/>
                    </a:xfrm>
                    <a:prstGeom prst="rect">
                      <a:avLst/>
                    </a:prstGeom>
                    <a:noFill/>
                    <a:ln w="9525">
                      <a:noFill/>
                    </a:ln>
                  </pic:spPr>
                </pic:pic>
              </a:graphicData>
            </a:graphic>
          </wp:inline>
        </w:drawing>
      </w:r>
      <w:r>
        <w:rPr>
          <w:rFonts w:hint="eastAsia" w:ascii="宋体" w:hAnsi="宋体" w:eastAsia="宋体" w:cs="宋体"/>
          <w:color w:val="auto"/>
          <w:sz w:val="0"/>
          <w:szCs w:val="0"/>
          <w:u w:val="none"/>
          <w:lang w:val="en-US" w:eastAsia="zh-CN"/>
        </w:rPr>
        <w:t xml:space="preserve">  </w:t>
      </w:r>
      <w:r>
        <w:rPr>
          <w:rFonts w:ascii="宋体" w:hAnsi="宋体" w:eastAsia="宋体" w:cs="宋体"/>
          <w:color w:val="auto"/>
          <w:sz w:val="0"/>
          <w:szCs w:val="0"/>
          <w:u w:val="none"/>
        </w:rPr>
        <w:drawing>
          <wp:inline distT="0" distB="0" distL="114300" distR="114300">
            <wp:extent cx="1289050" cy="1289050"/>
            <wp:effectExtent l="0" t="0" r="6350" b="6350"/>
            <wp:docPr id="110" name="图片 110" descr="IMG_258">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IMG_258"/>
                    <pic:cNvPicPr>
                      <a:picLocks noChangeAspect="1"/>
                    </pic:cNvPicPr>
                  </pic:nvPicPr>
                  <pic:blipFill>
                    <a:blip r:embed="rId39"/>
                    <a:stretch>
                      <a:fillRect/>
                    </a:stretch>
                  </pic:blipFill>
                  <pic:spPr>
                    <a:xfrm>
                      <a:off x="0" y="0"/>
                      <a:ext cx="1289050" cy="1289050"/>
                    </a:xfrm>
                    <a:prstGeom prst="rect">
                      <a:avLst/>
                    </a:prstGeom>
                    <a:noFill/>
                    <a:ln w="9525">
                      <a:noFill/>
                    </a:ln>
                  </pic:spPr>
                </pic:pic>
              </a:graphicData>
            </a:graphic>
          </wp:inline>
        </w:drawing>
      </w:r>
      <w:r>
        <w:rPr>
          <w:rFonts w:hint="eastAsia" w:eastAsiaTheme="minorEastAsia"/>
          <w:lang w:eastAsia="zh-CN"/>
        </w:rPr>
        <w:drawing>
          <wp:inline distT="0" distB="0" distL="114300" distR="114300">
            <wp:extent cx="1283970" cy="1283970"/>
            <wp:effectExtent l="0" t="0" r="11430" b="11430"/>
            <wp:docPr id="111" name="图片 111"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640"/>
                    <pic:cNvPicPr>
                      <a:picLocks noChangeAspect="1"/>
                    </pic:cNvPicPr>
                  </pic:nvPicPr>
                  <pic:blipFill>
                    <a:blip r:embed="rId40"/>
                    <a:stretch>
                      <a:fillRect/>
                    </a:stretch>
                  </pic:blipFill>
                  <pic:spPr>
                    <a:xfrm>
                      <a:off x="0" y="0"/>
                      <a:ext cx="1283970" cy="1283970"/>
                    </a:xfrm>
                    <a:prstGeom prst="rect">
                      <a:avLst/>
                    </a:prstGeom>
                  </pic:spPr>
                </pic:pic>
              </a:graphicData>
            </a:graphic>
          </wp:inline>
        </w:drawing>
      </w:r>
    </w:p>
    <w:p>
      <w:pPr>
        <w:rPr>
          <w:rFonts w:hint="eastAsia" w:ascii="仿宋" w:hAnsi="仿宋" w:eastAsia="仿宋" w:cs="仿宋"/>
          <w:b/>
          <w:bCs/>
          <w:color w:val="0070C0"/>
          <w:sz w:val="30"/>
          <w:szCs w:val="30"/>
          <w:lang w:val="en-US" w:eastAsia="zh-CN"/>
        </w:rPr>
      </w:pPr>
      <w:r>
        <w:rPr>
          <w:rFonts w:hint="eastAsia" w:ascii="仿宋" w:hAnsi="仿宋" w:eastAsia="仿宋" w:cs="仿宋"/>
          <w:b/>
          <w:bCs/>
          <w:color w:val="0070C0"/>
          <w:sz w:val="30"/>
          <w:szCs w:val="30"/>
          <w:lang w:val="en-US" w:eastAsia="zh-CN"/>
        </w:rPr>
        <w:t>6.智能铸造</w:t>
      </w:r>
    </w:p>
    <w:p>
      <w:pPr>
        <w:spacing w:line="360" w:lineRule="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 xml:space="preserve">6.1  </w:t>
      </w:r>
      <w:bookmarkStart w:id="0" w:name="OLE_LINK2"/>
      <w:bookmarkStart w:id="1" w:name="OLE_LINK1"/>
      <w:r>
        <w:rPr>
          <w:rFonts w:hint="eastAsia" w:ascii="仿宋" w:hAnsi="仿宋" w:eastAsia="仿宋" w:cs="仿宋"/>
          <w:b/>
          <w:bCs/>
          <w:sz w:val="28"/>
          <w:szCs w:val="36"/>
          <w:lang w:val="en-US" w:eastAsia="zh-CN"/>
        </w:rPr>
        <w:t>新一批“灯塔工厂”名单公布！全球153座“灯塔工厂”，中国62家灯塔工厂大全</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12月14日下午，世界经济论坛（WEF）发布了最新白皮书——《全球灯塔网络：加速人工智能大规模应用》，主要介绍灯塔企业如何搭建必要能力，扩大人工智能对人类、地球和经营绩效的积极影响，以及其他厂商如何加入该网络，形成协同社会效应并提高经营绩效。</w:t>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lang w:val="en-US" w:eastAsia="zh-CN"/>
        </w:rPr>
        <w:drawing>
          <wp:inline distT="0" distB="0" distL="114300" distR="114300">
            <wp:extent cx="4698365" cy="2236470"/>
            <wp:effectExtent l="0" t="0" r="635" b="11430"/>
            <wp:docPr id="16"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56"/>
                    <pic:cNvPicPr>
                      <a:picLocks noChangeAspect="1"/>
                    </pic:cNvPicPr>
                  </pic:nvPicPr>
                  <pic:blipFill>
                    <a:blip r:embed="rId41"/>
                    <a:stretch>
                      <a:fillRect/>
                    </a:stretch>
                  </pic:blipFill>
                  <pic:spPr>
                    <a:xfrm>
                      <a:off x="0" y="0"/>
                      <a:ext cx="4698365" cy="2236470"/>
                    </a:xfrm>
                    <a:prstGeom prst="rect">
                      <a:avLst/>
                    </a:prstGeom>
                    <a:noFill/>
                    <a:ln w="9525">
                      <a:noFill/>
                    </a:ln>
                  </pic:spPr>
                </pic:pic>
              </a:graphicData>
            </a:graphic>
          </wp:inline>
        </w:drawing>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本次白皮书公布最新一批“灯塔工厂”名单，共新增21座“灯塔工厂”和４座“可持续灯塔”工厂，至此，代表着全球智能制造和数字化最高水平的灯塔网络累计已达153座。</w:t>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lang w:val="en-US" w:eastAsia="zh-CN"/>
        </w:rPr>
        <w:drawing>
          <wp:inline distT="0" distB="0" distL="114300" distR="114300">
            <wp:extent cx="4627880" cy="2581910"/>
            <wp:effectExtent l="0" t="0" r="7620" b="8890"/>
            <wp:docPr id="17"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56"/>
                    <pic:cNvPicPr>
                      <a:picLocks noChangeAspect="1"/>
                    </pic:cNvPicPr>
                  </pic:nvPicPr>
                  <pic:blipFill>
                    <a:blip r:embed="rId42"/>
                    <a:stretch>
                      <a:fillRect/>
                    </a:stretch>
                  </pic:blipFill>
                  <pic:spPr>
                    <a:xfrm>
                      <a:off x="0" y="0"/>
                      <a:ext cx="4627880" cy="2581910"/>
                    </a:xfrm>
                    <a:prstGeom prst="rect">
                      <a:avLst/>
                    </a:prstGeom>
                    <a:noFill/>
                    <a:ln w="9525">
                      <a:noFill/>
                    </a:ln>
                  </pic:spPr>
                </pic:pic>
              </a:graphicData>
            </a:graphic>
          </wp:inline>
        </w:drawing>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新晋灯塔工厂中，其中有12家在中国，包括多家A股上市公司旗下工厂，如工业富联中国台湾南青工厂、宁德时代中国溧阳工厂、华润建材科技中国田阳工厂、海尔智家中国合肥及青岛工厂、亨通光电旗下亨通光纤科技中国苏州工厂、隆基绿能中国嘉兴工厂、亿滋国际中国北京工厂，以及由工业富联服务赋能的广汽埃安广州工厂和中信特钢无锡工厂。</w:t>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lang w:val="en-US" w:eastAsia="zh-CN"/>
        </w:rPr>
        <w:drawing>
          <wp:inline distT="0" distB="0" distL="114300" distR="114300">
            <wp:extent cx="4838065" cy="3498215"/>
            <wp:effectExtent l="0" t="0" r="635" b="6985"/>
            <wp:docPr id="18"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56"/>
                    <pic:cNvPicPr>
                      <a:picLocks noChangeAspect="1"/>
                    </pic:cNvPicPr>
                  </pic:nvPicPr>
                  <pic:blipFill>
                    <a:blip r:embed="rId43"/>
                    <a:stretch>
                      <a:fillRect/>
                    </a:stretch>
                  </pic:blipFill>
                  <pic:spPr>
                    <a:xfrm>
                      <a:off x="0" y="0"/>
                      <a:ext cx="4838065" cy="3498215"/>
                    </a:xfrm>
                    <a:prstGeom prst="rect">
                      <a:avLst/>
                    </a:prstGeom>
                    <a:noFill/>
                    <a:ln w="9525">
                      <a:noFill/>
                    </a:ln>
                  </pic:spPr>
                </pic:pic>
              </a:graphicData>
            </a:graphic>
          </wp:inline>
        </w:drawing>
      </w:r>
    </w:p>
    <w:p>
      <w:pPr>
        <w:spacing w:line="360" w:lineRule="auto"/>
        <w:rPr>
          <w:rFonts w:hint="eastAsia" w:ascii="仿宋" w:hAnsi="仿宋" w:eastAsia="仿宋" w:cs="仿宋"/>
          <w:b/>
          <w:bCs/>
          <w:color w:val="C00000"/>
          <w:sz w:val="24"/>
          <w:szCs w:val="32"/>
        </w:rPr>
      </w:pPr>
      <w:r>
        <w:rPr>
          <w:rFonts w:hint="eastAsia" w:ascii="仿宋" w:hAnsi="仿宋" w:eastAsia="仿宋" w:cs="仿宋"/>
          <w:b/>
          <w:bCs/>
          <w:color w:val="C00000"/>
          <w:sz w:val="24"/>
          <w:szCs w:val="32"/>
        </w:rPr>
        <w:t>新晋中国工厂灯塔</w:t>
      </w:r>
      <w:r>
        <w:rPr>
          <w:rFonts w:hint="eastAsia" w:ascii="仿宋" w:hAnsi="仿宋" w:eastAsia="仿宋" w:cs="仿宋"/>
          <w:b/>
          <w:bCs/>
          <w:color w:val="C00000"/>
          <w:sz w:val="24"/>
          <w:szCs w:val="32"/>
          <w:lang w:val="en-US" w:eastAsia="zh-CN"/>
        </w:rPr>
        <w:t xml:space="preserve">  </w:t>
      </w:r>
      <w:r>
        <w:rPr>
          <w:rFonts w:hint="eastAsia" w:ascii="仿宋" w:hAnsi="仿宋" w:eastAsia="仿宋" w:cs="仿宋"/>
          <w:b/>
          <w:bCs/>
          <w:color w:val="C00000"/>
          <w:sz w:val="24"/>
          <w:szCs w:val="32"/>
        </w:rPr>
        <w:t>Factory Lighthouses</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宁德时代（中国溧阳）：</w:t>
      </w:r>
      <w:r>
        <w:rPr>
          <w:rFonts w:hint="eastAsia" w:ascii="仿宋" w:hAnsi="仿宋" w:eastAsia="仿宋" w:cs="仿宋"/>
          <w:sz w:val="24"/>
          <w:szCs w:val="32"/>
        </w:rPr>
        <w:t>为解决需求激增、劳动力成本上升等问题，并实现碳中和承诺，宁德时代（CATL）溧阳生产基地采取了多项措施，包括运用大数据模拟质量检验，通过增材制造减少转换时间，利用计算机视觉实现微米级质量检验，以及利用深度学习优化过程控制和能源管理。成功实施后，产量提高320%，制造成本降低33%，归一化排放量减少47.4%，质量缺陷减少99%。缺陷衡量标准也从“百万分之一”升级到“十亿分之一”。</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中信泰富特钢（中国江阴）：</w:t>
      </w:r>
      <w:r>
        <w:rPr>
          <w:rFonts w:hint="eastAsia" w:ascii="仿宋" w:hAnsi="仿宋" w:eastAsia="仿宋" w:cs="仿宋"/>
          <w:sz w:val="24"/>
          <w:szCs w:val="32"/>
        </w:rPr>
        <w:t>为满足全球对定制钢材快速增长的需求，同时应对原材料和能源供应不稳定等问题，中信泰富特钢（CITIC Pacific Special Steel）江阴兴澄工厂部署了40多个第四次工业革命用例，如利用先进分析技术模拟和优化工艺，以及引入人工智能驱动的能源管理系统。有效实施后，工厂定制订单增加35.3%，不合格品率降低47.3%，每吨钢能耗降低10.5%。</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华润建材科技（中国田阳）：</w:t>
      </w:r>
      <w:r>
        <w:rPr>
          <w:rFonts w:hint="eastAsia" w:ascii="仿宋" w:hAnsi="仿宋" w:eastAsia="仿宋" w:cs="仿宋"/>
          <w:sz w:val="24"/>
          <w:szCs w:val="32"/>
        </w:rPr>
        <w:t>为应对绿色低碳发展要求、满足更高质量期望和缓解成本压力，华润建材科技控股有限公司（China Resources Building Materials Technology Holdings）旗下的田阳水泥生产基地共部署实施30多个第四次工业革命用例，利用先进分析技术、自动驾驶技术和工业物联网技术，提高能效、劳动效率和设备效能以及质量绩效。有效实施后，工厂碳排放量减少24%，劳动生产率提高105%，非计划停机时间减少56%，产品质量一致性提高25%。</w:t>
      </w:r>
    </w:p>
    <w:p>
      <w:pPr>
        <w:spacing w:line="360" w:lineRule="auto"/>
        <w:rPr>
          <w:rFonts w:hint="eastAsia" w:ascii="仿宋" w:hAnsi="仿宋" w:eastAsia="仿宋" w:cs="仿宋"/>
          <w:sz w:val="24"/>
          <w:szCs w:val="32"/>
        </w:rPr>
      </w:pPr>
      <w:r>
        <w:rPr>
          <w:rFonts w:hint="eastAsia" w:ascii="仿宋" w:hAnsi="仿宋" w:eastAsia="仿宋" w:cs="仿宋"/>
          <w:sz w:val="24"/>
          <w:szCs w:val="32"/>
        </w:rPr>
        <w:t>广汽埃安（中国广州）：为满足客户对可靠定制化电动汽车不断增长的需求，广汽埃安（GAC AION）共部署了40多个第四次工业革命用例，为客户提供超过10万种配置选项，并确保及时交付合格产品。全自动生产线支持混合生产模式，可按订单或备货要求生产不同车型，实现生产效率提高50%，交付时间缩短33%，一次验收合格率提高8%，以及制造成本降低58%。</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海尔（中国合肥）：</w:t>
      </w:r>
      <w:r>
        <w:rPr>
          <w:rFonts w:hint="eastAsia" w:ascii="仿宋" w:hAnsi="仿宋" w:eastAsia="仿宋" w:cs="仿宋"/>
          <w:sz w:val="24"/>
          <w:szCs w:val="32"/>
        </w:rPr>
        <w:t>中国新中产阶级的崛起和消费者消费能力的增强推动了分体式空调（AC）系统向中央空调系统的升级，而中央空调系统对质量和能效的要求也更高。海尔（Haier）合肥空调厂在家用中央空调系统的研发（R&amp;D）、生产和测试中引入先进算法、数字孪生、知识图谱等尖端技术，实现能效提高33%，缺陷率下降58%，劳动生产率提高49%，以及单位制造成本降低22%。</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亨通光纤科技（中国苏州）：</w:t>
      </w:r>
      <w:r>
        <w:rPr>
          <w:rFonts w:hint="eastAsia" w:ascii="仿宋" w:hAnsi="仿宋" w:eastAsia="仿宋" w:cs="仿宋"/>
          <w:sz w:val="24"/>
          <w:szCs w:val="32"/>
        </w:rPr>
        <w:t>面对更高的成本压力以及国际市场对质量和绿色生产的期望，亨通光纤科技（Hengtong Alpha）加快了先进分析技术、机器视觉和人工智能技术的大规模应用，共部署实施27个先进用例，涵盖生产全过程。有效实施后，单位制造成本减少21%，缺陷率降低52%，同时单位能耗下降33%。</w:t>
      </w:r>
    </w:p>
    <w:p>
      <w:pPr>
        <w:spacing w:line="360" w:lineRule="auto"/>
        <w:rPr>
          <w:rFonts w:hint="eastAsia" w:ascii="仿宋" w:hAnsi="仿宋" w:eastAsia="仿宋" w:cs="仿宋"/>
          <w:sz w:val="24"/>
          <w:szCs w:val="32"/>
        </w:rPr>
      </w:pPr>
      <w:r>
        <w:rPr>
          <w:rFonts w:hint="eastAsia" w:ascii="仿宋" w:hAnsi="仿宋" w:eastAsia="仿宋" w:cs="仿宋"/>
          <w:sz w:val="24"/>
          <w:szCs w:val="32"/>
        </w:rPr>
        <w:t>工业富联旗下鸿佰科技（中国台湾桃源）：人工智能基础模型的快速发展不仅导致算力需求爆发性增长，还对人工智能服务器的效率、质量和迭代速度提出了更高要求。工业富联（Foxconn Industrial Internet）旗下的台湾工厂通过在订单预测、仓储和生产调度、产品设计、质量和组装测试等领域部署人工智能用例，实现了生产效率提高73%，产品缺陷减少97%，交付周期缩短21%，以及单位制造成本降低39%。</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隆基股份（中国嘉兴）：</w:t>
      </w:r>
      <w:r>
        <w:rPr>
          <w:rFonts w:hint="eastAsia" w:ascii="仿宋" w:hAnsi="仿宋" w:eastAsia="仿宋" w:cs="仿宋"/>
          <w:sz w:val="24"/>
          <w:szCs w:val="32"/>
        </w:rPr>
        <w:t>隆基股份（LONGi Solar）嘉兴基地以降本增效和缩短太阳能组件交货期为驱动，部署了超过30个第四次工业革命用例，并利用人工智能和先进分析技术提升制造业务效能。这些举措取得了显著成效，一年内，该基地的单位制造成本降低了28%，产量损失减少了43%，生产交货时间缩短了84%，同时能耗也降低了20%。</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亿滋国际（中国北京）：</w:t>
      </w:r>
      <w:r>
        <w:rPr>
          <w:rFonts w:hint="eastAsia" w:ascii="仿宋" w:hAnsi="仿宋" w:eastAsia="仿宋" w:cs="仿宋"/>
          <w:sz w:val="24"/>
          <w:szCs w:val="32"/>
        </w:rPr>
        <w:t>亿滋（Mondelēz）北京为实现亿滋国际和北京市的可持续发展目标，同时满足亿滋的发展雄心，并应对劳动力成本同比上涨6%所带来的运营成本压力，部署了38个第四次工业革命用例，其中包括使用人工智能驱动的面团生产熄灯车间，以及通过机器学习优化燃气消耗。因此，北京亿滋的净收入增长了28%，劳动生产率提高了53%，同时减少了24%的温室气体排放和29%的食物浪费。</w:t>
      </w:r>
    </w:p>
    <w:p>
      <w:pPr>
        <w:spacing w:line="360" w:lineRule="auto"/>
        <w:rPr>
          <w:rFonts w:hint="eastAsia" w:ascii="仿宋" w:hAnsi="仿宋" w:eastAsia="仿宋" w:cs="仿宋"/>
          <w:b/>
          <w:bCs/>
          <w:color w:val="C00000"/>
          <w:sz w:val="24"/>
          <w:szCs w:val="32"/>
        </w:rPr>
      </w:pPr>
      <w:r>
        <w:rPr>
          <w:rFonts w:hint="eastAsia" w:ascii="仿宋" w:hAnsi="仿宋" w:eastAsia="仿宋" w:cs="仿宋"/>
          <w:b/>
          <w:bCs/>
          <w:color w:val="C00000"/>
          <w:sz w:val="24"/>
          <w:szCs w:val="32"/>
        </w:rPr>
        <w:t>新晋中国端到端灯塔</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海尔（中国青岛）：</w:t>
      </w:r>
      <w:r>
        <w:rPr>
          <w:rFonts w:hint="eastAsia" w:ascii="仿宋" w:hAnsi="仿宋" w:eastAsia="仿宋" w:cs="仿宋"/>
          <w:sz w:val="24"/>
          <w:szCs w:val="32"/>
        </w:rPr>
        <w:t>为了在成本上保持行业领先地位，并解决家电行业中常见的服务不专业和不及时问题，海尔（Haier）部署了136个第四次工业革命用例，用于节约采购成本、提升生产力并提高服务质量。这些用例采用了包括5.5G、高级算法和即用型数字孪生在内的技术。这一举措使产品成本优化了32%，劳动生产率提高了36%，服务投诉率降低了85%。</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强生（中国西安）：</w:t>
      </w:r>
      <w:r>
        <w:rPr>
          <w:rFonts w:hint="eastAsia" w:ascii="仿宋" w:hAnsi="仿宋" w:eastAsia="仿宋" w:cs="仿宋"/>
          <w:sz w:val="24"/>
          <w:szCs w:val="32"/>
        </w:rPr>
        <w:t>为了提高敏捷度和响应能力、提升质量标准并增强竞争力，强生（Johnson &amp; Johnson）西安于2019年以第四次工业革命驱动的新工厂取代了原有的人工设施。该工厂纳入了用于技术转移和材料处理的数字孪生技术，并实现了持续流程验证（CPV）以及批量执行流程的智能自动化。这使工厂搬迁期间的产品转移时间缩短了64%，不合格产品减少了60%，同时生产率提高了40%，运营成本降低了24%，温室气体排放减少了26%。</w:t>
      </w:r>
    </w:p>
    <w:p>
      <w:pPr>
        <w:spacing w:line="360" w:lineRule="auto"/>
        <w:ind w:firstLine="482" w:firstLineChars="200"/>
        <w:rPr>
          <w:rFonts w:hint="eastAsia" w:ascii="仿宋" w:hAnsi="仿宋" w:eastAsia="仿宋" w:cs="仿宋"/>
          <w:sz w:val="24"/>
          <w:szCs w:val="32"/>
        </w:rPr>
      </w:pPr>
      <w:r>
        <w:rPr>
          <w:rFonts w:hint="eastAsia" w:ascii="仿宋" w:hAnsi="仿宋" w:eastAsia="仿宋" w:cs="仿宋"/>
          <w:b/>
          <w:bCs/>
          <w:sz w:val="24"/>
          <w:szCs w:val="32"/>
        </w:rPr>
        <w:t>科赴（中国上海）：</w:t>
      </w:r>
      <w:r>
        <w:rPr>
          <w:rFonts w:hint="eastAsia" w:ascii="仿宋" w:hAnsi="仿宋" w:eastAsia="仿宋" w:cs="仿宋"/>
          <w:sz w:val="24"/>
          <w:szCs w:val="32"/>
        </w:rPr>
        <w:t>为了跟上电商发展、满足更快的上市速度以及成本竞争力提高所带来的需求波动，科赴（Kenvue）上海在其端到端供应链中部署了超过25个第四次工业革命用例，采用了社交媒体大数据分析、数字孪生、增材制造和机器学习等技术。因此，新产品推出的交货时间缩短了50%，预测准确率提高了1.3倍，48小时内按时交付率达到99.8%。电商业务量也因此翻倍，从占整体业务的30%提高到60%。</w:t>
      </w:r>
    </w:p>
    <w:p>
      <w:pPr>
        <w:spacing w:line="360" w:lineRule="auto"/>
        <w:rPr>
          <w:rFonts w:hint="eastAsia" w:ascii="仿宋" w:hAnsi="仿宋" w:eastAsia="仿宋" w:cs="仿宋"/>
          <w:b/>
          <w:bCs/>
          <w:color w:val="C00000"/>
          <w:sz w:val="24"/>
          <w:szCs w:val="32"/>
        </w:rPr>
      </w:pPr>
    </w:p>
    <w:p>
      <w:pPr>
        <w:spacing w:line="360" w:lineRule="auto"/>
        <w:rPr>
          <w:rFonts w:hint="eastAsia" w:ascii="仿宋" w:hAnsi="仿宋" w:eastAsia="仿宋" w:cs="仿宋"/>
          <w:b/>
          <w:bCs/>
          <w:color w:val="C00000"/>
          <w:sz w:val="24"/>
          <w:szCs w:val="32"/>
        </w:rPr>
      </w:pPr>
      <w:bookmarkStart w:id="3" w:name="_GoBack"/>
      <w:bookmarkEnd w:id="3"/>
      <w:r>
        <w:rPr>
          <w:rFonts w:hint="eastAsia" w:ascii="仿宋" w:hAnsi="仿宋" w:eastAsia="仿宋" w:cs="仿宋"/>
          <w:b/>
          <w:bCs/>
          <w:color w:val="C00000"/>
          <w:sz w:val="24"/>
          <w:szCs w:val="32"/>
        </w:rPr>
        <w:t>全球153座“灯塔工厂”，中国62家灯塔工厂大全</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此外，转型有术为了让大家更好地掌握全球“灯塔工厂”信息，我们特地整理了153座“灯塔工厂”PDF版本和中国62家灯塔工厂excel列表，并提供下载。供大家收藏学习，版权归属世界经济论坛&amp;麦肯锡。</w:t>
      </w:r>
    </w:p>
    <w:p>
      <w:pPr>
        <w:spacing w:line="360" w:lineRule="auto"/>
        <w:rPr>
          <w:rFonts w:hint="eastAsia" w:ascii="仿宋" w:hAnsi="仿宋" w:eastAsia="仿宋" w:cs="仿宋"/>
          <w:b/>
          <w:bCs/>
          <w:sz w:val="24"/>
          <w:szCs w:val="32"/>
        </w:rPr>
      </w:pP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先放上部分中国62家灯塔工厂列表</w:t>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lang w:val="en-US" w:eastAsia="zh-CN"/>
        </w:rPr>
        <w:drawing>
          <wp:inline distT="0" distB="0" distL="114300" distR="114300">
            <wp:extent cx="5039995" cy="3789680"/>
            <wp:effectExtent l="0" t="0" r="1905" b="7620"/>
            <wp:docPr id="20"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56"/>
                    <pic:cNvPicPr>
                      <a:picLocks noChangeAspect="1"/>
                    </pic:cNvPicPr>
                  </pic:nvPicPr>
                  <pic:blipFill>
                    <a:blip r:embed="rId44"/>
                    <a:stretch>
                      <a:fillRect/>
                    </a:stretch>
                  </pic:blipFill>
                  <pic:spPr>
                    <a:xfrm>
                      <a:off x="0" y="0"/>
                      <a:ext cx="5039995" cy="3789680"/>
                    </a:xfrm>
                    <a:prstGeom prst="rect">
                      <a:avLst/>
                    </a:prstGeom>
                    <a:noFill/>
                    <a:ln w="9525">
                      <a:noFill/>
                    </a:ln>
                  </pic:spPr>
                </pic:pic>
              </a:graphicData>
            </a:graphic>
          </wp:inline>
        </w:drawing>
      </w:r>
    </w:p>
    <w:p>
      <w:pPr>
        <w:spacing w:line="360" w:lineRule="auto"/>
        <w:jc w:val="center"/>
        <w:rPr>
          <w:rFonts w:hint="eastAsia" w:ascii="仿宋" w:hAnsi="仿宋" w:eastAsia="仿宋" w:cs="仿宋"/>
          <w:b/>
          <w:bCs/>
          <w:color w:val="C00000"/>
          <w:sz w:val="24"/>
          <w:szCs w:val="32"/>
        </w:rPr>
      </w:pPr>
      <w:r>
        <w:rPr>
          <w:rFonts w:hint="eastAsia" w:ascii="仿宋" w:hAnsi="仿宋" w:eastAsia="仿宋" w:cs="仿宋"/>
          <w:sz w:val="24"/>
          <w:szCs w:val="32"/>
          <w:lang w:val="en-US" w:eastAsia="zh-CN"/>
        </w:rPr>
        <w:drawing>
          <wp:inline distT="0" distB="0" distL="114300" distR="114300">
            <wp:extent cx="4958715" cy="3385820"/>
            <wp:effectExtent l="0" t="0" r="6985" b="5080"/>
            <wp:docPr id="23"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56"/>
                    <pic:cNvPicPr>
                      <a:picLocks noChangeAspect="1"/>
                    </pic:cNvPicPr>
                  </pic:nvPicPr>
                  <pic:blipFill>
                    <a:blip r:embed="rId45"/>
                    <a:srcRect l="1613"/>
                    <a:stretch>
                      <a:fillRect/>
                    </a:stretch>
                  </pic:blipFill>
                  <pic:spPr>
                    <a:xfrm>
                      <a:off x="0" y="0"/>
                      <a:ext cx="4958715" cy="3385820"/>
                    </a:xfrm>
                    <a:prstGeom prst="rect">
                      <a:avLst/>
                    </a:prstGeom>
                    <a:noFill/>
                    <a:ln w="9525">
                      <a:noFill/>
                    </a:ln>
                  </pic:spPr>
                </pic:pic>
              </a:graphicData>
            </a:graphic>
          </wp:inline>
        </w:drawing>
      </w:r>
    </w:p>
    <w:p>
      <w:pPr>
        <w:spacing w:line="360" w:lineRule="auto"/>
        <w:rPr>
          <w:rFonts w:hint="eastAsia" w:ascii="仿宋" w:hAnsi="仿宋" w:eastAsia="仿宋" w:cs="仿宋"/>
          <w:b/>
          <w:bCs/>
          <w:color w:val="C00000"/>
          <w:sz w:val="24"/>
          <w:szCs w:val="32"/>
        </w:rPr>
      </w:pPr>
      <w:r>
        <w:rPr>
          <w:rFonts w:hint="eastAsia" w:ascii="仿宋" w:hAnsi="仿宋" w:eastAsia="仿宋" w:cs="仿宋"/>
          <w:b/>
          <w:bCs/>
          <w:color w:val="C00000"/>
          <w:sz w:val="24"/>
          <w:szCs w:val="32"/>
        </w:rPr>
        <w:t>关于全球灯塔网络</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全球灯塔网络合作平台汇集了在采用第四次工业革命技术方面具有前瞻性思维的制造商。灯塔利用人工智能、3D打印和大数据分析等创新技术，大幅提升效率、增强竞争力并推动商业模式大规模转型。在促进经济增长的同时，倡导扩大员工队伍与环境保护，并为全球各个规模的制造商提供共同学习的机会。</w:t>
      </w:r>
    </w:p>
    <w:p>
      <w:pPr>
        <w:spacing w:line="360" w:lineRule="auto"/>
        <w:ind w:firstLine="480" w:firstLineChars="200"/>
        <w:rPr>
          <w:rFonts w:hint="eastAsia" w:ascii="仿宋" w:hAnsi="仿宋" w:eastAsia="仿宋" w:cs="仿宋"/>
          <w:b/>
          <w:bCs/>
          <w:color w:val="FF0000"/>
          <w:spacing w:val="11"/>
          <w:kern w:val="0"/>
          <w:sz w:val="28"/>
          <w:szCs w:val="28"/>
          <w:shd w:val="clear" w:fill="FFFFFF"/>
          <w:lang w:val="en-US" w:eastAsia="zh-CN" w:bidi="ar"/>
        </w:rPr>
      </w:pPr>
      <w:r>
        <w:rPr>
          <w:rFonts w:hint="eastAsia" w:ascii="仿宋" w:hAnsi="仿宋" w:eastAsia="仿宋" w:cs="仿宋"/>
          <w:sz w:val="24"/>
          <w:szCs w:val="32"/>
        </w:rPr>
        <w:t>全球灯塔网络是世界经济论坛与麦肯锡公司共同发起的一项倡议，由宁德时代、富士康工业互联网、汉高、强生、戈兹控股、施耐德电气和西门子等行业领袖组成的顾问委员会提供咨询。加入该网络的工厂由独立专家小组指定。山西华益慧联科技有限公司董飞整理</w:t>
      </w:r>
    </w:p>
    <w:p>
      <w:pPr>
        <w:keepNext w:val="0"/>
        <w:keepLines w:val="0"/>
        <w:widowControl/>
        <w:suppressLineNumbers w:val="0"/>
        <w:spacing w:line="360" w:lineRule="auto"/>
        <w:jc w:val="both"/>
        <w:rPr>
          <w:rFonts w:hint="default" w:ascii="仿宋" w:hAnsi="仿宋" w:eastAsia="仿宋" w:cs="仿宋"/>
          <w:b/>
          <w:bCs/>
          <w:color w:val="FF0000"/>
          <w:spacing w:val="11"/>
          <w:kern w:val="0"/>
          <w:sz w:val="28"/>
          <w:szCs w:val="28"/>
          <w:shd w:val="clear" w:fill="FFFFFF"/>
          <w:lang w:val="en-US" w:eastAsia="zh-CN" w:bidi="ar"/>
        </w:rPr>
      </w:pPr>
      <w:r>
        <w:rPr>
          <w:rFonts w:hint="eastAsia" w:ascii="仿宋" w:hAnsi="仿宋" w:eastAsia="仿宋" w:cs="仿宋"/>
          <w:b/>
          <w:bCs/>
          <w:color w:val="FF0000"/>
          <w:spacing w:val="11"/>
          <w:kern w:val="0"/>
          <w:sz w:val="28"/>
          <w:szCs w:val="28"/>
          <w:shd w:val="clear" w:fill="FFFFFF"/>
          <w:lang w:val="en-US" w:eastAsia="zh-CN" w:bidi="ar"/>
        </w:rPr>
        <w:t>7. 技术交流</w:t>
      </w:r>
    </w:p>
    <w:bookmarkEnd w:id="0"/>
    <w:bookmarkEnd w:id="1"/>
    <w:p>
      <w:pPr>
        <w:spacing w:line="360" w:lineRule="auto"/>
        <w:rPr>
          <w:rFonts w:hint="eastAsia" w:ascii="仿宋" w:hAnsi="仿宋" w:eastAsia="仿宋" w:cs="仿宋"/>
          <w:b/>
          <w:sz w:val="28"/>
          <w:szCs w:val="28"/>
        </w:rPr>
      </w:pPr>
      <w:r>
        <w:rPr>
          <w:rFonts w:hint="eastAsia" w:ascii="仿宋" w:hAnsi="仿宋" w:eastAsia="仿宋" w:cs="仿宋"/>
          <w:b/>
          <w:bCs/>
          <w:sz w:val="28"/>
          <w:szCs w:val="36"/>
          <w:lang w:val="en-US" w:eastAsia="zh-CN"/>
        </w:rPr>
        <w:t>7.1 技术论文</w:t>
      </w:r>
      <w:bookmarkStart w:id="2" w:name="_Hlk108510179"/>
      <w:bookmarkEnd w:id="2"/>
      <w:r>
        <w:rPr>
          <w:rFonts w:hint="eastAsia" w:ascii="仿宋" w:hAnsi="仿宋" w:eastAsia="仿宋" w:cs="仿宋"/>
          <w:b/>
          <w:bCs/>
          <w:sz w:val="28"/>
          <w:szCs w:val="36"/>
          <w:lang w:val="en-US" w:eastAsia="zh-CN"/>
        </w:rPr>
        <w:t xml:space="preserve"> </w:t>
      </w:r>
      <w:r>
        <w:rPr>
          <w:rFonts w:hint="eastAsia" w:ascii="仿宋" w:hAnsi="仿宋" w:eastAsia="仿宋" w:cs="仿宋"/>
          <w:b/>
          <w:bCs/>
          <w:sz w:val="32"/>
          <w:szCs w:val="40"/>
          <w:lang w:val="en-US" w:eastAsia="zh-CN"/>
        </w:rPr>
        <w:t xml:space="preserve"> </w:t>
      </w:r>
      <w:r>
        <w:rPr>
          <w:rFonts w:hint="eastAsia" w:ascii="仿宋" w:hAnsi="仿宋" w:eastAsia="仿宋" w:cs="仿宋"/>
          <w:b/>
          <w:sz w:val="28"/>
          <w:szCs w:val="28"/>
        </w:rPr>
        <w:t>一种发动机飞轮壳塌陷缺陷分析及改进</w:t>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rPr>
        <w:t>李永刚，王焕宁，宋学恩，王洁英，武弘杰（潍柴重机股份有限公司）</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摘要：</w:t>
      </w:r>
      <w:r>
        <w:rPr>
          <w:rFonts w:hint="eastAsia" w:ascii="仿宋" w:hAnsi="仿宋" w:eastAsia="仿宋" w:cs="仿宋"/>
          <w:sz w:val="24"/>
          <w:szCs w:val="32"/>
        </w:rPr>
        <w:t>以一种发动机飞轮壳塌陷缺陷问题为例，分析了飞轮壳塌陷缺陷产生的原因,通过对浇冒系统合理优化，提高液态补缩能力和优化浇注操作等方面提出解决思路，最终将飞轮壳塌陷缺陷率降至较低水平。</w:t>
      </w:r>
    </w:p>
    <w:p>
      <w:pPr>
        <w:spacing w:line="360" w:lineRule="auto"/>
        <w:rPr>
          <w:rFonts w:hint="eastAsia" w:ascii="仿宋" w:hAnsi="仿宋" w:eastAsia="仿宋" w:cs="仿宋"/>
          <w:sz w:val="24"/>
          <w:szCs w:val="32"/>
        </w:rPr>
      </w:pPr>
      <w:r>
        <w:rPr>
          <w:rFonts w:hint="eastAsia" w:ascii="仿宋" w:hAnsi="仿宋" w:eastAsia="仿宋" w:cs="仿宋"/>
          <w:b/>
          <w:bCs/>
          <w:sz w:val="24"/>
          <w:szCs w:val="32"/>
        </w:rPr>
        <w:t>关键词：</w:t>
      </w:r>
      <w:r>
        <w:rPr>
          <w:rFonts w:hint="eastAsia" w:ascii="仿宋" w:hAnsi="仿宋" w:eastAsia="仿宋" w:cs="仿宋"/>
          <w:sz w:val="24"/>
          <w:szCs w:val="32"/>
        </w:rPr>
        <w:t>飞轮壳；塌陷；浇冒系统；液态补缩</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发动机飞轮壳承载着变速器的质量，起着动力传递支点的作用。因使用过程中，由于其承受重力、外力以及不规则的振动等因素，因此，对铸件质量有较高要求。笔者公司生产的一种飞轮壳生产过程中一直存在铸件塌陷缺陷或气孔缺陷，占总缺陷的97%以上，严重影响了飞轮壳的可靠性和外观质量。随着市场上铸件质量要求的不断提高，需要分析改进铸造工艺降低铸件塌陷缺陷率。</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1 飞轮壳结构及工艺简介</w:t>
      </w:r>
    </w:p>
    <w:p>
      <w:pPr>
        <w:spacing w:line="360" w:lineRule="auto"/>
        <w:ind w:firstLine="240" w:firstLineChars="100"/>
        <w:rPr>
          <w:rFonts w:hint="eastAsia" w:ascii="仿宋" w:hAnsi="仿宋" w:eastAsia="仿宋" w:cs="仿宋"/>
          <w:sz w:val="24"/>
          <w:szCs w:val="32"/>
        </w:rPr>
      </w:pPr>
      <w:r>
        <w:rPr>
          <w:rFonts w:hint="eastAsia" w:ascii="仿宋" w:hAnsi="仿宋" w:eastAsia="仿宋" w:cs="仿宋"/>
          <w:sz w:val="24"/>
          <w:szCs w:val="32"/>
        </w:rPr>
        <w:t>（1）飞轮壳外形尺寸Φ1068 mm×133.5 mm.</w:t>
      </w:r>
    </w:p>
    <w:p>
      <w:pPr>
        <w:spacing w:line="360" w:lineRule="auto"/>
        <w:ind w:firstLine="240" w:firstLineChars="100"/>
        <w:rPr>
          <w:rFonts w:hint="eastAsia" w:ascii="仿宋" w:hAnsi="仿宋" w:eastAsia="仿宋" w:cs="仿宋"/>
          <w:sz w:val="24"/>
          <w:szCs w:val="32"/>
        </w:rPr>
      </w:pPr>
      <w:r>
        <w:rPr>
          <w:rFonts w:hint="eastAsia" w:ascii="仿宋" w:hAnsi="仿宋" w:eastAsia="仿宋" w:cs="仿宋"/>
          <w:sz w:val="24"/>
          <w:szCs w:val="32"/>
        </w:rPr>
        <w:t>（2）采用碱性酚醛树脂自硬砂造型，材质：HT250，浇注温度1 380 ℃~1 400 ℃，重量约为140 kg. 采用顶部进水+倾斜浇注+外浇口芯，倾斜角度12°，浇注示意图如图1所示。</w:t>
      </w:r>
    </w:p>
    <w:p>
      <w:pPr>
        <w:widowControl/>
        <w:spacing w:line="360" w:lineRule="auto"/>
        <w:ind w:firstLine="480" w:firstLineChars="200"/>
        <w:jc w:val="center"/>
        <w:rPr>
          <w:rFonts w:ascii="Times New Roman" w:hAnsi="Times New Roman" w:eastAsia="宋体" w:cs="Arial"/>
          <w:color w:val="000000"/>
          <w:kern w:val="0"/>
          <w:sz w:val="24"/>
        </w:rPr>
      </w:pPr>
      <w:r>
        <w:rPr>
          <w:rFonts w:ascii="Times New Roman" w:hAnsi="Times New Roman" w:eastAsia="宋体" w:cs="Arial"/>
          <w:color w:val="000000"/>
          <w:kern w:val="0"/>
          <w:sz w:val="24"/>
        </w:rPr>
        <mc:AlternateContent>
          <mc:Choice Requires="wps">
            <w:drawing>
              <wp:anchor distT="0" distB="0" distL="114300" distR="114300" simplePos="0" relativeHeight="251680768" behindDoc="0" locked="0" layoutInCell="1" allowOverlap="1">
                <wp:simplePos x="0" y="0"/>
                <wp:positionH relativeFrom="column">
                  <wp:posOffset>1078865</wp:posOffset>
                </wp:positionH>
                <wp:positionV relativeFrom="paragraph">
                  <wp:posOffset>705485</wp:posOffset>
                </wp:positionV>
                <wp:extent cx="464820" cy="289560"/>
                <wp:effectExtent l="0" t="0" r="0" b="0"/>
                <wp:wrapNone/>
                <wp:docPr id="3" name="文本框 18"/>
                <wp:cNvGraphicFramePr/>
                <a:graphic xmlns:a="http://schemas.openxmlformats.org/drawingml/2006/main">
                  <a:graphicData uri="http://schemas.microsoft.com/office/word/2010/wordprocessingShape">
                    <wps:wsp>
                      <wps:cNvSpPr txBox="1"/>
                      <wps:spPr>
                        <a:xfrm>
                          <a:off x="0" y="0"/>
                          <a:ext cx="464820" cy="289560"/>
                        </a:xfrm>
                        <a:prstGeom prst="rect">
                          <a:avLst/>
                        </a:prstGeom>
                        <a:noFill/>
                        <a:ln>
                          <a:noFill/>
                        </a:ln>
                      </wps:spPr>
                      <wps:txbx>
                        <w:txbxContent>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12°</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文本框 18" o:spid="_x0000_s1026" o:spt="202" type="#_x0000_t202" style="position:absolute;left:0pt;margin-left:84.95pt;margin-top:55.55pt;height:22.8pt;width:36.6pt;z-index:251680768;mso-width-relative:page;mso-height-relative:margin;mso-height-percent:200;" filled="f" stroked="f" coordsize="21600,21600" o:gfxdata="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ciZCG1gAAAAsBAAAPAAAAAAAAAAEAIAAAACIAAABkcnMvZG93bnJldi54bWxQSwECFAAU&#10;AAAACACHTuJAxXe8DroBAABoAwAADgAAAAAAAAABACAAAAAlAQAAZHJzL2Uyb0RvYy54bWxQSwUG&#10;AAAAAAYABgBZAQAAUQUAAAAA&#10;">
                <v:fill on="f" focussize="0,0"/>
                <v:stroke on="f"/>
                <v:imagedata o:title=""/>
                <o:lock v:ext="edit" aspectratio="f"/>
                <v:textbox style="mso-fit-shape-to-text:t;">
                  <w:txbxContent>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12°</w:t>
                      </w:r>
                    </w:p>
                  </w:txbxContent>
                </v:textbox>
              </v:shape>
            </w:pict>
          </mc:Fallback>
        </mc:AlternateContent>
      </w:r>
      <w:r>
        <w:rPr>
          <w:rFonts w:ascii="Times New Roman" w:hAnsi="Times New Roman" w:eastAsia="宋体"/>
        </w:rPr>
        <mc:AlternateContent>
          <mc:Choice Requires="wps">
            <w:drawing>
              <wp:anchor distT="0" distB="0" distL="114300" distR="114300" simplePos="0" relativeHeight="251679744" behindDoc="0" locked="0" layoutInCell="1" allowOverlap="1">
                <wp:simplePos x="0" y="0"/>
                <wp:positionH relativeFrom="column">
                  <wp:posOffset>1184910</wp:posOffset>
                </wp:positionH>
                <wp:positionV relativeFrom="paragraph">
                  <wp:posOffset>680085</wp:posOffset>
                </wp:positionV>
                <wp:extent cx="1127125" cy="294005"/>
                <wp:effectExtent l="5080" t="18415" r="10795" b="30480"/>
                <wp:wrapNone/>
                <wp:docPr id="12" name="自选图形 17"/>
                <wp:cNvGraphicFramePr/>
                <a:graphic xmlns:a="http://schemas.openxmlformats.org/drawingml/2006/main">
                  <a:graphicData uri="http://schemas.microsoft.com/office/word/2010/wordprocessingShape">
                    <wps:wsp>
                      <wps:cNvCnPr/>
                      <wps:spPr>
                        <a:xfrm flipH="1" flipV="1">
                          <a:off x="0" y="0"/>
                          <a:ext cx="1127125" cy="294005"/>
                        </a:xfrm>
                        <a:prstGeom prst="straightConnector1">
                          <a:avLst/>
                        </a:prstGeom>
                        <a:ln w="38100" cap="flat" cmpd="sng">
                          <a:solidFill>
                            <a:srgbClr val="F2F2F2"/>
                          </a:solidFill>
                          <a:prstDash val="solid"/>
                          <a:headEnd type="none" w="med" len="med"/>
                          <a:tailEnd type="none" w="med" len="med"/>
                        </a:ln>
                      </wps:spPr>
                      <wps:bodyPr/>
                    </wps:wsp>
                  </a:graphicData>
                </a:graphic>
              </wp:anchor>
            </w:drawing>
          </mc:Choice>
          <mc:Fallback>
            <w:pict>
              <v:shape id="自选图形 17" o:spid="_x0000_s1026" o:spt="32" type="#_x0000_t32" style="position:absolute;left:0pt;flip:x y;margin-left:93.3pt;margin-top:53.55pt;height:23.15pt;width:88.75pt;z-index:251679744;mso-width-relative:page;mso-height-relative:page;" filled="f" stroked="t" coordsize="21600,21600" o:gfxdata="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4Dwjw9gAAAALAQAADwAAAAAAAAABACAAAAAiAAAA&#10;ZHJzL2Rvd25yZXYueG1sUEsBAhQAFAAAAAgAh07iQA2oOLEHAgAA/wMAAA4AAAAAAAAAAQAgAAAA&#10;JwEAAGRycy9lMm9Eb2MueG1sUEsFBgAAAAAGAAYAWQEAAKAFAAAAAA==&#10;">
                <v:fill on="f" focussize="0,0"/>
                <v:stroke weight="3pt" color="#F2F2F2" joinstyle="round"/>
                <v:imagedata o:title=""/>
                <o:lock v:ext="edit" aspectratio="f"/>
              </v:shape>
            </w:pict>
          </mc:Fallback>
        </mc:AlternateContent>
      </w:r>
      <w:r>
        <w:rPr>
          <w:rFonts w:ascii="Times New Roman" w:hAnsi="Times New Roman" w:eastAsia="宋体"/>
        </w:rPr>
        <mc:AlternateContent>
          <mc:Choice Requires="wps">
            <w:drawing>
              <wp:anchor distT="0" distB="0" distL="114300" distR="114300" simplePos="0" relativeHeight="251678720" behindDoc="0" locked="0" layoutInCell="1" allowOverlap="1">
                <wp:simplePos x="0" y="0"/>
                <wp:positionH relativeFrom="column">
                  <wp:posOffset>1184910</wp:posOffset>
                </wp:positionH>
                <wp:positionV relativeFrom="paragraph">
                  <wp:posOffset>1001395</wp:posOffset>
                </wp:positionV>
                <wp:extent cx="1127125" cy="0"/>
                <wp:effectExtent l="0" t="19050" r="15875" b="19050"/>
                <wp:wrapNone/>
                <wp:docPr id="13" name="自选图形 16"/>
                <wp:cNvGraphicFramePr/>
                <a:graphic xmlns:a="http://schemas.openxmlformats.org/drawingml/2006/main">
                  <a:graphicData uri="http://schemas.microsoft.com/office/word/2010/wordprocessingShape">
                    <wps:wsp>
                      <wps:cNvCnPr/>
                      <wps:spPr>
                        <a:xfrm flipH="1">
                          <a:off x="0" y="0"/>
                          <a:ext cx="1127125" cy="0"/>
                        </a:xfrm>
                        <a:prstGeom prst="straightConnector1">
                          <a:avLst/>
                        </a:prstGeom>
                        <a:ln w="38100" cap="flat" cmpd="sng">
                          <a:solidFill>
                            <a:srgbClr val="F2F2F2"/>
                          </a:solidFill>
                          <a:prstDash val="solid"/>
                          <a:headEnd type="none" w="med" len="med"/>
                          <a:tailEnd type="none" w="med" len="med"/>
                        </a:ln>
                      </wps:spPr>
                      <wps:bodyPr/>
                    </wps:wsp>
                  </a:graphicData>
                </a:graphic>
              </wp:anchor>
            </w:drawing>
          </mc:Choice>
          <mc:Fallback>
            <w:pict>
              <v:shape id="自选图形 16" o:spid="_x0000_s1026" o:spt="32" type="#_x0000_t32" style="position:absolute;left:0pt;flip:x;margin-left:93.3pt;margin-top:78.85pt;height:0pt;width:88.75pt;z-index:251678720;mso-width-relative:page;mso-height-relative:page;" filled="f" stroked="t" coordsize="21600,21600" o:gfxdata="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oaSUy2AAAAAsBAAAPAAAAAAAAAAEAIAAAACIAAABkcnMvZG93&#10;bnJldi54bWxQSwECFAAUAAAACACHTuJAizBi7AACAADwAwAADgAAAAAAAAABACAAAAAnAQAAZHJz&#10;L2Uyb0RvYy54bWxQSwUGAAAAAAYABgBZAQAAmQUAAAAA&#10;">
                <v:fill on="f" focussize="0,0"/>
                <v:stroke weight="3pt" color="#F2F2F2" joinstyle="round"/>
                <v:imagedata o:title=""/>
                <o:lock v:ext="edit" aspectratio="f"/>
              </v:shape>
            </w:pict>
          </mc:Fallback>
        </mc:AlternateContent>
      </w:r>
      <w:r>
        <w:rPr>
          <w:rFonts w:ascii="Times New Roman" w:hAnsi="Times New Roman" w:eastAsia="宋体"/>
        </w:rPr>
        <w:drawing>
          <wp:inline distT="0" distB="0" distL="0" distR="0">
            <wp:extent cx="2852420" cy="1794510"/>
            <wp:effectExtent l="0" t="0" r="5080" b="889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46"/>
                    <a:srcRect l="40305" t="26686" r="19389" b="32728"/>
                    <a:stretch>
                      <a:fillRect/>
                    </a:stretch>
                  </pic:blipFill>
                  <pic:spPr>
                    <a:xfrm>
                      <a:off x="0" y="0"/>
                      <a:ext cx="2852420" cy="1794510"/>
                    </a:xfrm>
                    <a:prstGeom prst="rect">
                      <a:avLst/>
                    </a:prstGeom>
                    <a:ln>
                      <a:noFill/>
                    </a:ln>
                  </pic:spPr>
                </pic:pic>
              </a:graphicData>
            </a:graphic>
          </wp:inline>
        </w:drawing>
      </w:r>
    </w:p>
    <w:p>
      <w:pPr>
        <w:spacing w:line="360" w:lineRule="auto"/>
        <w:jc w:val="center"/>
        <w:rPr>
          <w:rFonts w:hint="eastAsia" w:ascii="仿宋" w:hAnsi="仿宋" w:eastAsia="仿宋" w:cs="仿宋"/>
          <w:sz w:val="24"/>
          <w:szCs w:val="32"/>
        </w:rPr>
      </w:pPr>
      <w:r>
        <w:rPr>
          <w:rFonts w:hint="eastAsia" w:ascii="仿宋" w:hAnsi="仿宋" w:eastAsia="仿宋" w:cs="仿宋"/>
          <w:b/>
          <w:bCs/>
          <w:sz w:val="24"/>
          <w:szCs w:val="32"/>
        </w:rPr>
        <w:t>图1  浇注示意图</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2 塌陷缺陷特征及原因分析</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2.1塌陷缺陷位置</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通过统计塌陷缺陷位置及数量，发现塌陷缺陷集中于上平面油道两端相交热节上平面和另一局部贯穿厚大断面一端相交热节处，共计3处，塌陷面积约50 mm内凹，塌陷缺陷如图2所示。</w:t>
      </w:r>
    </w:p>
    <w:p>
      <w:pPr>
        <w:widowControl/>
        <w:spacing w:line="360" w:lineRule="auto"/>
        <w:jc w:val="center"/>
        <w:rPr>
          <w:rFonts w:ascii="Times New Roman" w:hAnsi="Times New Roman" w:eastAsia="宋体"/>
        </w:rPr>
      </w:pPr>
      <w:r>
        <w:rPr>
          <w:rFonts w:ascii="Times New Roman" w:hAnsi="Times New Roman" w:eastAsia="宋体"/>
        </w:rPr>
        <mc:AlternateContent>
          <mc:Choice Requires="wps">
            <w:drawing>
              <wp:anchor distT="0" distB="0" distL="114300" distR="114300" simplePos="0" relativeHeight="251673600" behindDoc="0" locked="0" layoutInCell="1" allowOverlap="1">
                <wp:simplePos x="0" y="0"/>
                <wp:positionH relativeFrom="column">
                  <wp:posOffset>71755</wp:posOffset>
                </wp:positionH>
                <wp:positionV relativeFrom="paragraph">
                  <wp:posOffset>910590</wp:posOffset>
                </wp:positionV>
                <wp:extent cx="339090" cy="173990"/>
                <wp:effectExtent l="14605" t="24130" r="27305" b="30480"/>
                <wp:wrapNone/>
                <wp:docPr id="30" name="自选图形 39"/>
                <wp:cNvGraphicFramePr/>
                <a:graphic xmlns:a="http://schemas.openxmlformats.org/drawingml/2006/main">
                  <a:graphicData uri="http://schemas.microsoft.com/office/word/2010/wordprocessingShape">
                    <wps:wsp>
                      <wps:cNvSpPr/>
                      <wps:spPr>
                        <a:xfrm rot="360000">
                          <a:off x="0" y="0"/>
                          <a:ext cx="33909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9" o:spid="_x0000_s1026" o:spt="2" style="position:absolute;left:0pt;margin-left:5.65pt;margin-top:71.7pt;height:13.7pt;width:26.7pt;rotation:393216f;z-index:251673600;v-text-anchor:middle;mso-width-relative:page;mso-height-relative:page;" filled="f" stroked="t" coordsize="21600,21600" arcsize="0.166666666666667" o:gfxdata="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i2h+42AAAAAkBAAAPAAAAAAAAAAEAIAAAACIAAABkcnMvZG93&#10;bnJldi54bWxQSwECFAAUAAAACACHTuJAr4P7VDkCAABkBAAADgAAAAAAAAABACAAAAAnAQAAZHJz&#10;L2Uyb0RvYy54bWxQSwUGAAAAAAYABgBZAQAA0gUAAAAA&#10;">
                <v:fill on="f" focussize="0,0"/>
                <v:stroke weight="1.5pt" color="#FFFFFF" joinstyle="miter"/>
                <v:imagedata o:title=""/>
                <o:lock v:ext="edit" aspectratio="f"/>
              </v:roundrect>
            </w:pict>
          </mc:Fallback>
        </mc:AlternateContent>
      </w:r>
      <w:r>
        <w:rPr>
          <w:rFonts w:ascii="Times New Roman" w:hAnsi="Times New Roman" w:eastAsia="宋体"/>
        </w:rPr>
        <mc:AlternateContent>
          <mc:Choice Requires="wps">
            <w:drawing>
              <wp:anchor distT="0" distB="0" distL="114300" distR="114300" simplePos="0" relativeHeight="251672576" behindDoc="0" locked="0" layoutInCell="1" allowOverlap="1">
                <wp:simplePos x="0" y="0"/>
                <wp:positionH relativeFrom="column">
                  <wp:posOffset>1062355</wp:posOffset>
                </wp:positionH>
                <wp:positionV relativeFrom="paragraph">
                  <wp:posOffset>281940</wp:posOffset>
                </wp:positionV>
                <wp:extent cx="339090" cy="173990"/>
                <wp:effectExtent l="14605" t="24130" r="27305" b="30480"/>
                <wp:wrapNone/>
                <wp:docPr id="31" name="自选图形 38"/>
                <wp:cNvGraphicFramePr/>
                <a:graphic xmlns:a="http://schemas.openxmlformats.org/drawingml/2006/main">
                  <a:graphicData uri="http://schemas.microsoft.com/office/word/2010/wordprocessingShape">
                    <wps:wsp>
                      <wps:cNvSpPr/>
                      <wps:spPr>
                        <a:xfrm rot="360000">
                          <a:off x="0" y="0"/>
                          <a:ext cx="33909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8" o:spid="_x0000_s1026" o:spt="2" style="position:absolute;left:0pt;margin-left:83.65pt;margin-top:22.2pt;height:13.7pt;width:26.7pt;rotation:393216f;z-index:251672576;v-text-anchor:middle;mso-width-relative:page;mso-height-relative:page;" filled="f" stroked="t" coordsize="21600,21600" arcsize="0.166666666666667" o:gfxdata="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p9VvE2AAAAAkBAAAPAAAAAAAAAAEAIAAAACIAAABkcnMvZG93&#10;bnJldi54bWxQSwECFAAUAAAACACHTuJACnHrmjkCAABkBAAADgAAAAAAAAABACAAAAAnAQAAZHJz&#10;L2Uyb0RvYy54bWxQSwUGAAAAAAYABgBZAQAA0gUAAAAA&#10;">
                <v:fill on="f" focussize="0,0"/>
                <v:stroke weight="1.5pt" color="#FFFFFF" joinstyle="miter"/>
                <v:imagedata o:title=""/>
                <o:lock v:ext="edit" aspectratio="f"/>
              </v:roundrect>
            </w:pict>
          </mc:Fallback>
        </mc:AlternateContent>
      </w:r>
      <w:r>
        <w:rPr>
          <w:rFonts w:ascii="Times New Roman" w:hAnsi="Times New Roman" w:eastAsia="宋体"/>
        </w:rPr>
        <mc:AlternateContent>
          <mc:Choice Requires="wps">
            <w:drawing>
              <wp:anchor distT="0" distB="0" distL="114300" distR="114300" simplePos="0" relativeHeight="251671552" behindDoc="0" locked="0" layoutInCell="1" allowOverlap="1">
                <wp:simplePos x="0" y="0"/>
                <wp:positionH relativeFrom="column">
                  <wp:posOffset>128905</wp:posOffset>
                </wp:positionH>
                <wp:positionV relativeFrom="paragraph">
                  <wp:posOffset>196215</wp:posOffset>
                </wp:positionV>
                <wp:extent cx="339090" cy="173990"/>
                <wp:effectExtent l="14605" t="24130" r="27305" b="30480"/>
                <wp:wrapNone/>
                <wp:docPr id="32" name="自选图形 37"/>
                <wp:cNvGraphicFramePr/>
                <a:graphic xmlns:a="http://schemas.openxmlformats.org/drawingml/2006/main">
                  <a:graphicData uri="http://schemas.microsoft.com/office/word/2010/wordprocessingShape">
                    <wps:wsp>
                      <wps:cNvSpPr/>
                      <wps:spPr>
                        <a:xfrm rot="360000">
                          <a:off x="0" y="0"/>
                          <a:ext cx="33909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7" o:spid="_x0000_s1026" o:spt="2" style="position:absolute;left:0pt;margin-left:10.15pt;margin-top:15.45pt;height:13.7pt;width:26.7pt;rotation:393216f;z-index:251671552;v-text-anchor:middle;mso-width-relative:page;mso-height-relative:page;" filled="f" stroked="t" coordsize="21600,21600" arcsize="0.166666666666667" o:gfxdata="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Sx3I21gAAAAcBAAAPAAAAAAAAAAEAIAAAACIAAABkcnMvZG93&#10;bnJldi54bWxQSwECFAAUAAAACACHTuJAddJOxjsCAABkBAAADgAAAAAAAAABACAAAAAlAQAAZHJz&#10;L2Uyb0RvYy54bWxQSwUGAAAAAAYABgBZAQAA0gUAAAAA&#10;">
                <v:fill on="f" focussize="0,0"/>
                <v:stroke weight="1.5pt" color="#FFFFFF" joinstyle="miter"/>
                <v:imagedata o:title=""/>
                <o:lock v:ext="edit" aspectratio="f"/>
              </v:roundrect>
            </w:pict>
          </mc:Fallback>
        </mc:AlternateContent>
      </w:r>
      <w:r>
        <w:rPr>
          <w:rFonts w:ascii="Times New Roman" w:hAnsi="Times New Roman" w:eastAsia="宋体"/>
        </w:rPr>
        <w:drawing>
          <wp:inline distT="0" distB="0" distL="0" distR="0">
            <wp:extent cx="1695450" cy="1632585"/>
            <wp:effectExtent l="0" t="0" r="6350" b="571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7" cstate="print"/>
                    <a:srcRect l="45865" t="25574" r="17652" b="25502"/>
                    <a:stretch>
                      <a:fillRect/>
                    </a:stretch>
                  </pic:blipFill>
                  <pic:spPr>
                    <a:xfrm>
                      <a:off x="0" y="0"/>
                      <a:ext cx="1695450" cy="1632585"/>
                    </a:xfrm>
                    <a:prstGeom prst="rect">
                      <a:avLst/>
                    </a:prstGeom>
                    <a:ln>
                      <a:noFill/>
                    </a:ln>
                  </pic:spPr>
                </pic:pic>
              </a:graphicData>
            </a:graphic>
          </wp:inline>
        </w:drawing>
      </w:r>
      <w:r>
        <w:rPr>
          <w:rFonts w:hint="eastAsia" w:ascii="Times New Roman" w:hAnsi="Times New Roman" w:eastAsia="宋体"/>
          <w:lang w:val="en-US" w:eastAsia="zh-CN"/>
        </w:rPr>
        <w:t xml:space="preserve"> </w:t>
      </w:r>
      <w:r>
        <w:rPr>
          <w:rFonts w:ascii="Times New Roman" w:hAnsi="Times New Roman" w:eastAsia="宋体"/>
        </w:rPr>
        <w:drawing>
          <wp:inline distT="0" distB="0" distL="0" distR="0">
            <wp:extent cx="1421765" cy="1631315"/>
            <wp:effectExtent l="0" t="0" r="635" b="6985"/>
            <wp:docPr id="38" name="图片 38" descr="C:\Users\liyg\Downloads\16531122023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C:\Users\liyg\Downloads\1653112202394.jpg"/>
                    <pic:cNvPicPr>
                      <a:picLocks noChangeAspect="1" noChangeArrowheads="1"/>
                    </pic:cNvPicPr>
                  </pic:nvPicPr>
                  <pic:blipFill>
                    <a:blip r:embed="rId48" cstate="print">
                      <a:extLst>
                        <a:ext uri="{28A0092B-C50C-407E-A947-70E740481C1C}">
                          <a14:useLocalDpi xmlns:a14="http://schemas.microsoft.com/office/drawing/2010/main" val="0"/>
                        </a:ext>
                      </a:extLst>
                    </a:blip>
                    <a:srcRect l="21896" t="26432" r="35689" b="51661"/>
                    <a:stretch>
                      <a:fillRect/>
                    </a:stretch>
                  </pic:blipFill>
                  <pic:spPr>
                    <a:xfrm>
                      <a:off x="0" y="0"/>
                      <a:ext cx="1421765" cy="1631315"/>
                    </a:xfrm>
                    <a:prstGeom prst="rect">
                      <a:avLst/>
                    </a:prstGeom>
                    <a:noFill/>
                    <a:ln>
                      <a:noFill/>
                    </a:ln>
                  </pic:spPr>
                </pic:pic>
              </a:graphicData>
            </a:graphic>
          </wp:inline>
        </w:drawing>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rPr>
        <w:t>图2  塌陷缺陷位置及特征</w:t>
      </w:r>
    </w:p>
    <w:p>
      <w:pPr>
        <w:spacing w:line="360" w:lineRule="auto"/>
        <w:rPr>
          <w:rFonts w:hint="eastAsia" w:ascii="仿宋" w:hAnsi="仿宋" w:eastAsia="仿宋" w:cs="仿宋"/>
          <w:b/>
          <w:bCs/>
          <w:sz w:val="24"/>
          <w:szCs w:val="32"/>
        </w:rPr>
      </w:pP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2.2缺陷成因分析</w:t>
      </w:r>
    </w:p>
    <w:p>
      <w:pPr>
        <w:spacing w:line="360" w:lineRule="auto"/>
        <w:ind w:firstLine="240" w:firstLineChars="100"/>
        <w:rPr>
          <w:rFonts w:hint="eastAsia" w:ascii="仿宋" w:hAnsi="仿宋" w:eastAsia="仿宋" w:cs="仿宋"/>
          <w:sz w:val="24"/>
          <w:szCs w:val="32"/>
        </w:rPr>
      </w:pPr>
      <w:r>
        <w:rPr>
          <w:rFonts w:hint="eastAsia" w:ascii="仿宋" w:hAnsi="仿宋" w:eastAsia="仿宋" w:cs="仿宋"/>
          <w:sz w:val="24"/>
          <w:szCs w:val="32"/>
        </w:rPr>
        <w:t>（1）分析浇注系统：该浇注系统总体上采用开放式浇注系统，內浇道在飞轮壳靠近油道侧，占1/4圆均布5道内浇道，直浇道对侧占1/4圆均布溢流。浇道截面比为：F直：F阻：F横：F内=1.1：1：1.7：1.67，阻流面积：1800 mm2. 计算浇注过程中排气面积为：3000 mm2，排气面积≈1.67倍的阻流面积，排气面积满足工艺需求。</w:t>
      </w:r>
    </w:p>
    <w:p>
      <w:pPr>
        <w:spacing w:line="360" w:lineRule="auto"/>
        <w:ind w:firstLine="240" w:firstLineChars="100"/>
        <w:rPr>
          <w:rFonts w:hint="eastAsia" w:ascii="仿宋" w:hAnsi="仿宋" w:eastAsia="仿宋" w:cs="仿宋"/>
          <w:sz w:val="24"/>
          <w:szCs w:val="32"/>
        </w:rPr>
      </w:pPr>
      <w:r>
        <w:rPr>
          <w:rFonts w:hint="eastAsia" w:ascii="仿宋" w:hAnsi="仿宋" w:eastAsia="仿宋" w:cs="仿宋"/>
          <w:sz w:val="24"/>
          <w:szCs w:val="32"/>
        </w:rPr>
        <w:t>（2）分析浇注过程：借助MAGMA模拟软件，对浇注过程进行分析，铸造模拟工艺参数与现场一致。根据浇注过程模拟显示（如图3所示），整体充型时间20 s，充型14 s前，裹气现象比较突出，浇注结束前，型腔内气体不能充分排出，浇注结束后，未排出气体占据铸件顶面凝固最后位置，铸件顶部易产生塌陷缺陷。</w:t>
      </w:r>
    </w:p>
    <w:p>
      <w:pPr>
        <w:widowControl/>
        <w:spacing w:line="360" w:lineRule="auto"/>
        <w:ind w:left="660" w:leftChars="200" w:hanging="240" w:hangingChars="200"/>
        <w:jc w:val="center"/>
        <w:rPr>
          <w:rFonts w:ascii="Times New Roman" w:hAnsi="Times New Roman" w:eastAsia="宋体" w:cs="Arial"/>
          <w:color w:val="000000"/>
          <w:kern w:val="0"/>
          <w:szCs w:val="21"/>
        </w:rPr>
      </w:pPr>
      <w:r>
        <w:rPr>
          <w:rFonts w:ascii="Times New Roman" w:hAnsi="Times New Roman" w:eastAsia="宋体"/>
          <w:color w:val="000000"/>
          <w:sz w:val="12"/>
          <w:szCs w:val="12"/>
        </w:rPr>
        <w:drawing>
          <wp:inline distT="0" distB="0" distL="0" distR="0">
            <wp:extent cx="2745740" cy="2095500"/>
            <wp:effectExtent l="0" t="0" r="10160" b="0"/>
            <wp:docPr id="39" name="图片 3" descr="http://mail.weichai.com/coremail/s?func=mbox:getMessageData&amp;mid=2:1tbiAgATB1xBhByPbAABsx&amp;par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 descr="http://mail.weichai.com/coremail/s?func=mbox:getMessageData&amp;mid=2:1tbiAgATB1xBhByPbAABsx&amp;part=3"/>
                    <pic:cNvPicPr>
                      <a:picLocks noChangeAspect="1" noChangeArrowheads="1"/>
                    </pic:cNvPicPr>
                  </pic:nvPicPr>
                  <pic:blipFill>
                    <a:blip r:embed="rId49" cstate="print"/>
                    <a:srcRect l="16166" t="6032" r="15500" b="10476"/>
                    <a:stretch>
                      <a:fillRect/>
                    </a:stretch>
                  </pic:blipFill>
                  <pic:spPr>
                    <a:xfrm>
                      <a:off x="0" y="0"/>
                      <a:ext cx="2745740" cy="2095500"/>
                    </a:xfrm>
                    <a:prstGeom prst="rect">
                      <a:avLst/>
                    </a:prstGeom>
                    <a:noFill/>
                    <a:ln w="9525">
                      <a:noFill/>
                      <a:miter lim="800000"/>
                      <a:headEnd/>
                      <a:tailEnd/>
                    </a:ln>
                  </pic:spPr>
                </pic:pic>
              </a:graphicData>
            </a:graphic>
          </wp:inline>
        </w:drawing>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rPr>
        <w:t>图3  充型过程裹气示意图</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（3）整个铸件毛坯重量140 kg，局部两处厚大紫色断面结构与白色断面部位相交，形成局部较大热节，且为凝固较晚部位，浇注结束后，液态收缩过程中仅依靠浇注系统进行液态补缩，内浇道较薄，厚度为7.25 mm，液态补缩尚未完成，内浇道已凝固，液态补缩时间太短，同时，因为倾斜浇注，浇道侧处于低端，液态补缩压头和液态补缩量均不能满足需求，导致缺陷发生。</w:t>
      </w:r>
    </w:p>
    <w:p>
      <w:pPr>
        <w:widowControl/>
        <w:spacing w:line="360" w:lineRule="auto"/>
        <w:jc w:val="center"/>
        <w:rPr>
          <w:rFonts w:ascii="Times New Roman" w:hAnsi="Times New Roman" w:eastAsia="宋体"/>
        </w:rPr>
      </w:pPr>
      <w:r>
        <w:rPr>
          <w:rFonts w:ascii="Times New Roman" w:hAnsi="Times New Roman" w:eastAsia="宋体"/>
        </w:rPr>
        <mc:AlternateContent>
          <mc:Choice Requires="wps">
            <w:drawing>
              <wp:anchor distT="0" distB="0" distL="114300" distR="114300" simplePos="0" relativeHeight="251667456" behindDoc="0" locked="0" layoutInCell="1" allowOverlap="1">
                <wp:simplePos x="0" y="0"/>
                <wp:positionH relativeFrom="column">
                  <wp:posOffset>1826260</wp:posOffset>
                </wp:positionH>
                <wp:positionV relativeFrom="paragraph">
                  <wp:posOffset>334645</wp:posOffset>
                </wp:positionV>
                <wp:extent cx="339090" cy="173990"/>
                <wp:effectExtent l="14605" t="24130" r="27305" b="30480"/>
                <wp:wrapNone/>
                <wp:docPr id="46" name="自选图形 32"/>
                <wp:cNvGraphicFramePr/>
                <a:graphic xmlns:a="http://schemas.openxmlformats.org/drawingml/2006/main">
                  <a:graphicData uri="http://schemas.microsoft.com/office/word/2010/wordprocessingShape">
                    <wps:wsp>
                      <wps:cNvSpPr/>
                      <wps:spPr>
                        <a:xfrm rot="360000">
                          <a:off x="0" y="0"/>
                          <a:ext cx="33909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2" o:spid="_x0000_s1026" o:spt="2" style="position:absolute;left:0pt;margin-left:143.8pt;margin-top:26.35pt;height:13.7pt;width:26.7pt;rotation:393216f;z-index:251667456;v-text-anchor:middle;mso-width-relative:page;mso-height-relative:page;" filled="f" stroked="t" coordsize="21600,21600" arcsize="0.166666666666667" o:gfxdata="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fIutkAAAAJAQAADwAAAAAAAAABACAAAAAiAAAAZHJzL2Rv&#10;d25yZXYueG1sUEsBAhQAFAAAAAgAh07iQLppcd85AgAAZAQAAA4AAAAAAAAAAQAgAAAAKAEAAGRy&#10;cy9lMm9Eb2MueG1sUEsFBgAAAAAGAAYAWQEAANMFAAAAAA==&#10;">
                <v:fill on="f" focussize="0,0"/>
                <v:stroke weight="1.5pt" color="#FFFFFF" joinstyle="miter"/>
                <v:imagedata o:title=""/>
                <o:lock v:ext="edit" aspectratio="f"/>
              </v:roundrect>
            </w:pict>
          </mc:Fallback>
        </mc:AlternateContent>
      </w:r>
      <w:r>
        <w:rPr>
          <w:rFonts w:ascii="Times New Roman" w:hAnsi="Times New Roman" w:eastAsia="宋体"/>
        </w:rPr>
        <w:drawing>
          <wp:inline distT="0" distB="0" distL="0" distR="0">
            <wp:extent cx="1675765" cy="1403985"/>
            <wp:effectExtent l="0" t="0" r="635" b="571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50" cstate="print"/>
                    <a:srcRect l="45865" t="25574" r="17652" b="25502"/>
                    <a:stretch>
                      <a:fillRect/>
                    </a:stretch>
                  </pic:blipFill>
                  <pic:spPr>
                    <a:xfrm>
                      <a:off x="0" y="0"/>
                      <a:ext cx="1675765" cy="1403985"/>
                    </a:xfrm>
                    <a:prstGeom prst="rect">
                      <a:avLst/>
                    </a:prstGeom>
                    <a:ln>
                      <a:noFill/>
                    </a:ln>
                  </pic:spPr>
                </pic:pic>
              </a:graphicData>
            </a:graphic>
          </wp:inline>
        </w:drawing>
      </w:r>
      <w:r>
        <w:rPr>
          <w:rFonts w:ascii="Times New Roman" w:hAnsi="Times New Roman" w:eastAsia="宋体"/>
        </w:rPr>
        <mc:AlternateContent>
          <mc:Choice Requires="wps">
            <w:drawing>
              <wp:anchor distT="0" distB="0" distL="114300" distR="114300" simplePos="0" relativeHeight="251670528" behindDoc="0" locked="0" layoutInCell="1" allowOverlap="1">
                <wp:simplePos x="0" y="0"/>
                <wp:positionH relativeFrom="column">
                  <wp:posOffset>3415030</wp:posOffset>
                </wp:positionH>
                <wp:positionV relativeFrom="paragraph">
                  <wp:posOffset>399415</wp:posOffset>
                </wp:positionV>
                <wp:extent cx="223520" cy="173990"/>
                <wp:effectExtent l="15240" t="17780" r="27940" b="17780"/>
                <wp:wrapNone/>
                <wp:docPr id="40" name="自选图形 35"/>
                <wp:cNvGraphicFramePr/>
                <a:graphic xmlns:a="http://schemas.openxmlformats.org/drawingml/2006/main">
                  <a:graphicData uri="http://schemas.microsoft.com/office/word/2010/wordprocessingShape">
                    <wps:wsp>
                      <wps:cNvSpPr/>
                      <wps:spPr>
                        <a:xfrm rot="360000">
                          <a:off x="0" y="0"/>
                          <a:ext cx="22352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5" o:spid="_x0000_s1026" o:spt="2" style="position:absolute;left:0pt;margin-left:268.9pt;margin-top:31.45pt;height:13.7pt;width:17.6pt;rotation:393216f;z-index:251670528;v-text-anchor:middle;mso-width-relative:page;mso-height-relative:page;" filled="f" stroked="t" coordsize="21600,21600" arcsize="0.166666666666667" o:gfxdata="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iuEl8dkAAAAJAQAADwAAAAAAAAABACAAAAAiAAAAZHJz&#10;L2Rvd25yZXYueG1sUEsBAhQAFAAAAAgAh07iQJyogC08AgAAZAQAAA4AAAAAAAAAAQAgAAAAKAEA&#10;AGRycy9lMm9Eb2MueG1sUEsFBgAAAAAGAAYAWQEAANYFAAAAAA==&#10;">
                <v:fill on="f" focussize="0,0"/>
                <v:stroke weight="1.5pt" color="#FFFFFF" joinstyle="miter"/>
                <v:imagedata o:title=""/>
                <o:lock v:ext="edit" aspectratio="f"/>
              </v:roundrect>
            </w:pict>
          </mc:Fallback>
        </mc:AlternateContent>
      </w:r>
      <w:r>
        <w:rPr>
          <w:rFonts w:ascii="Times New Roman" w:hAnsi="Times New Roman" w:eastAsia="宋体"/>
        </w:rPr>
        <mc:AlternateContent>
          <mc:Choice Requires="wps">
            <w:drawing>
              <wp:anchor distT="0" distB="0" distL="114300" distR="114300" simplePos="0" relativeHeight="251665408" behindDoc="0" locked="0" layoutInCell="1" allowOverlap="1">
                <wp:simplePos x="0" y="0"/>
                <wp:positionH relativeFrom="column">
                  <wp:posOffset>1526540</wp:posOffset>
                </wp:positionH>
                <wp:positionV relativeFrom="paragraph">
                  <wp:posOffset>975995</wp:posOffset>
                </wp:positionV>
                <wp:extent cx="795020" cy="137160"/>
                <wp:effectExtent l="12065" t="48260" r="31115" b="62230"/>
                <wp:wrapNone/>
                <wp:docPr id="48" name="自选图形 30"/>
                <wp:cNvGraphicFramePr/>
                <a:graphic xmlns:a="http://schemas.openxmlformats.org/drawingml/2006/main">
                  <a:graphicData uri="http://schemas.microsoft.com/office/word/2010/wordprocessingShape">
                    <wps:wsp>
                      <wps:cNvSpPr/>
                      <wps:spPr>
                        <a:xfrm rot="360000">
                          <a:off x="0" y="0"/>
                          <a:ext cx="795020" cy="137160"/>
                        </a:xfrm>
                        <a:prstGeom prst="roundRect">
                          <a:avLst>
                            <a:gd name="adj" fmla="val 16667"/>
                          </a:avLst>
                        </a:prstGeom>
                        <a:noFill/>
                        <a:ln w="19050" cap="flat" cmpd="sng">
                          <a:solidFill>
                            <a:srgbClr val="7030A0"/>
                          </a:solidFill>
                          <a:prstDash val="solid"/>
                          <a:miter/>
                          <a:headEnd type="none" w="med" len="med"/>
                          <a:tailEnd type="none" w="med" len="med"/>
                        </a:ln>
                        <a:effectLst/>
                      </wps:spPr>
                      <wps:bodyPr anchor="ctr" anchorCtr="0" upright="1"/>
                    </wps:wsp>
                  </a:graphicData>
                </a:graphic>
              </wp:anchor>
            </w:drawing>
          </mc:Choice>
          <mc:Fallback>
            <w:pict>
              <v:roundrect id="自选图形 30" o:spid="_x0000_s1026" o:spt="2" style="position:absolute;left:0pt;margin-left:120.2pt;margin-top:76.85pt;height:10.8pt;width:62.6pt;rotation:393216f;z-index:251665408;v-text-anchor:middle;mso-width-relative:page;mso-height-relative:page;" filled="f" stroked="t" coordsize="21600,21600" arcsize="0.166666666666667" o:gfxdata="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I+Vf9kAAAALAQAADwAAAAAAAAABACAAAAAiAAAAZHJz&#10;L2Rvd25yZXYueG1sUEsBAhQAFAAAAAgAh07iQKTWM7M8AgAAZAQAAA4AAAAAAAAAAQAgAAAAKAEA&#10;AGRycy9lMm9Eb2MueG1sUEsFBgAAAAAGAAYAWQEAANYFAAAAAA==&#10;">
                <v:fill on="f" focussize="0,0"/>
                <v:stroke weight="1.5pt" color="#7030A0" joinstyle="miter"/>
                <v:imagedata o:title=""/>
                <o:lock v:ext="edit" aspectratio="f"/>
              </v:roundrect>
            </w:pict>
          </mc:Fallback>
        </mc:AlternateContent>
      </w:r>
      <w:r>
        <w:rPr>
          <w:rFonts w:ascii="Times New Roman" w:hAnsi="Times New Roman" w:eastAsia="宋体"/>
        </w:rPr>
        <mc:AlternateContent>
          <mc:Choice Requires="wps">
            <w:drawing>
              <wp:anchor distT="0" distB="0" distL="114300" distR="114300" simplePos="0" relativeHeight="251664384" behindDoc="0" locked="0" layoutInCell="1" allowOverlap="1">
                <wp:simplePos x="0" y="0"/>
                <wp:positionH relativeFrom="column">
                  <wp:posOffset>1644015</wp:posOffset>
                </wp:positionH>
                <wp:positionV relativeFrom="paragraph">
                  <wp:posOffset>404495</wp:posOffset>
                </wp:positionV>
                <wp:extent cx="795020" cy="137160"/>
                <wp:effectExtent l="12065" t="48260" r="31115" b="62230"/>
                <wp:wrapNone/>
                <wp:docPr id="49" name="自选图形 29"/>
                <wp:cNvGraphicFramePr/>
                <a:graphic xmlns:a="http://schemas.openxmlformats.org/drawingml/2006/main">
                  <a:graphicData uri="http://schemas.microsoft.com/office/word/2010/wordprocessingShape">
                    <wps:wsp>
                      <wps:cNvSpPr/>
                      <wps:spPr>
                        <a:xfrm rot="360000">
                          <a:off x="0" y="0"/>
                          <a:ext cx="795020" cy="137160"/>
                        </a:xfrm>
                        <a:prstGeom prst="roundRect">
                          <a:avLst>
                            <a:gd name="adj" fmla="val 16667"/>
                          </a:avLst>
                        </a:prstGeom>
                        <a:noFill/>
                        <a:ln w="19050" cap="flat" cmpd="sng">
                          <a:solidFill>
                            <a:srgbClr val="7030A0"/>
                          </a:solidFill>
                          <a:prstDash val="solid"/>
                          <a:miter/>
                          <a:headEnd type="none" w="med" len="med"/>
                          <a:tailEnd type="none" w="med" len="med"/>
                        </a:ln>
                        <a:effectLst/>
                      </wps:spPr>
                      <wps:bodyPr anchor="ctr" anchorCtr="0" upright="1"/>
                    </wps:wsp>
                  </a:graphicData>
                </a:graphic>
              </wp:anchor>
            </w:drawing>
          </mc:Choice>
          <mc:Fallback>
            <w:pict>
              <v:roundrect id="自选图形 29" o:spid="_x0000_s1026" o:spt="2" style="position:absolute;left:0pt;margin-left:129.45pt;margin-top:31.85pt;height:10.8pt;width:62.6pt;rotation:393216f;z-index:251664384;v-text-anchor:middle;mso-width-relative:page;mso-height-relative:page;" filled="f" stroked="t" coordsize="21600,21600" arcsize="0.166666666666667" o:gfxdata="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Ug1N12QAAAAkBAAAPAAAAAAAAAAEAIAAAACIAAABk&#10;cnMvZG93bnJldi54bWxQSwECFAAUAAAACACHTuJA9MWKRj4CAABkBAAADgAAAAAAAAABACAAAAAo&#10;AQAAZHJzL2Uyb0RvYy54bWxQSwUGAAAAAAYABgBZAQAA2AUAAAAA&#10;">
                <v:fill on="f" focussize="0,0"/>
                <v:stroke weight="1.5pt" color="#7030A0" joinstyle="miter"/>
                <v:imagedata o:title=""/>
                <o:lock v:ext="edit" aspectratio="f"/>
              </v:roundrect>
            </w:pict>
          </mc:Fallback>
        </mc:AlternateContent>
      </w:r>
      <w:r>
        <w:rPr>
          <w:rFonts w:ascii="Times New Roman" w:hAnsi="Times New Roman" w:eastAsia="宋体"/>
        </w:rPr>
        <mc:AlternateContent>
          <mc:Choice Requires="wps">
            <w:drawing>
              <wp:anchor distT="0" distB="0" distL="114300" distR="114300" simplePos="0" relativeHeight="251669504" behindDoc="0" locked="0" layoutInCell="1" allowOverlap="1">
                <wp:simplePos x="0" y="0"/>
                <wp:positionH relativeFrom="column">
                  <wp:posOffset>1991360</wp:posOffset>
                </wp:positionH>
                <wp:positionV relativeFrom="paragraph">
                  <wp:posOffset>617855</wp:posOffset>
                </wp:positionV>
                <wp:extent cx="223520" cy="173990"/>
                <wp:effectExtent l="15240" t="17780" r="27940" b="17780"/>
                <wp:wrapNone/>
                <wp:docPr id="44" name="自选图形 34"/>
                <wp:cNvGraphicFramePr/>
                <a:graphic xmlns:a="http://schemas.openxmlformats.org/drawingml/2006/main">
                  <a:graphicData uri="http://schemas.microsoft.com/office/word/2010/wordprocessingShape">
                    <wps:wsp>
                      <wps:cNvSpPr/>
                      <wps:spPr>
                        <a:xfrm rot="360000">
                          <a:off x="0" y="0"/>
                          <a:ext cx="22352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4" o:spid="_x0000_s1026" o:spt="2" style="position:absolute;left:0pt;margin-left:156.8pt;margin-top:48.65pt;height:13.7pt;width:17.6pt;rotation:393216f;z-index:251669504;v-text-anchor:middle;mso-width-relative:page;mso-height-relative:page;" filled="f" stroked="t" coordsize="21600,21600" arcsize="0.166666666666667" o:gfxdata="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&#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432TZAAAACgEAAA8AAAAAAAAAAQAgAAAAIgAAAGRy&#10;cy9kb3ducmV2LnhtbFBLAQIUABQAAAAIAIdO4kDmGc5nPQIAAGQEAAAOAAAAAAAAAAEAIAAAACgB&#10;AABkcnMvZTJvRG9jLnhtbFBLBQYAAAAABgAGAFkBAADXBQAAAAA=&#10;">
                <v:fill on="f" focussize="0,0"/>
                <v:stroke weight="1.5pt" color="#FFFFFF" joinstyle="miter"/>
                <v:imagedata o:title=""/>
                <o:lock v:ext="edit" aspectratio="f"/>
              </v:roundrect>
            </w:pict>
          </mc:Fallback>
        </mc:AlternateContent>
      </w:r>
      <w:r>
        <w:rPr>
          <w:rFonts w:ascii="Times New Roman" w:hAnsi="Times New Roman" w:eastAsia="宋体"/>
        </w:rPr>
        <mc:AlternateContent>
          <mc:Choice Requires="wps">
            <w:drawing>
              <wp:anchor distT="0" distB="0" distL="114300" distR="114300" simplePos="0" relativeHeight="251668480" behindDoc="0" locked="0" layoutInCell="1" allowOverlap="1">
                <wp:simplePos x="0" y="0"/>
                <wp:positionH relativeFrom="column">
                  <wp:posOffset>305435</wp:posOffset>
                </wp:positionH>
                <wp:positionV relativeFrom="paragraph">
                  <wp:posOffset>751205</wp:posOffset>
                </wp:positionV>
                <wp:extent cx="223520" cy="173990"/>
                <wp:effectExtent l="15240" t="17780" r="27940" b="17780"/>
                <wp:wrapNone/>
                <wp:docPr id="45" name="自选图形 33"/>
                <wp:cNvGraphicFramePr/>
                <a:graphic xmlns:a="http://schemas.openxmlformats.org/drawingml/2006/main">
                  <a:graphicData uri="http://schemas.microsoft.com/office/word/2010/wordprocessingShape">
                    <wps:wsp>
                      <wps:cNvSpPr/>
                      <wps:spPr>
                        <a:xfrm rot="360000">
                          <a:off x="0" y="0"/>
                          <a:ext cx="22352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3" o:spid="_x0000_s1026" o:spt="2" style="position:absolute;left:0pt;margin-left:24.05pt;margin-top:59.15pt;height:13.7pt;width:17.6pt;rotation:393216f;z-index:251668480;v-text-anchor:middle;mso-width-relative:page;mso-height-relative:page;" filled="f" stroked="t" coordsize="21600,21600" arcsize="0.166666666666667" o:gfxdata="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1jsIXtgAAAAJAQAADwAAAAAAAAABACAAAAAiAAAAZHJz&#10;L2Rvd25yZXYueG1sUEsBAhQAFAAAAAgAh07iQAuxlC49AgAAZAQAAA4AAAAAAAAAAQAgAAAAJwEA&#10;AGRycy9lMm9Eb2MueG1sUEsFBgAAAAAGAAYAWQEAANYFAAAAAA==&#10;">
                <v:fill on="f" focussize="0,0"/>
                <v:stroke weight="1.5pt" color="#FFFFFF" joinstyle="miter"/>
                <v:imagedata o:title=""/>
                <o:lock v:ext="edit" aspectratio="f"/>
              </v:roundrect>
            </w:pict>
          </mc:Fallback>
        </mc:AlternateContent>
      </w:r>
      <w:r>
        <w:rPr>
          <w:rFonts w:ascii="Times New Roman" w:hAnsi="Times New Roman" w:eastAsia="宋体"/>
        </w:rPr>
        <mc:AlternateContent>
          <mc:Choice Requires="wps">
            <w:drawing>
              <wp:anchor distT="0" distB="0" distL="114300" distR="114300" simplePos="0" relativeHeight="251666432" behindDoc="0" locked="0" layoutInCell="1" allowOverlap="1">
                <wp:simplePos x="0" y="0"/>
                <wp:positionH relativeFrom="column">
                  <wp:posOffset>285750</wp:posOffset>
                </wp:positionH>
                <wp:positionV relativeFrom="paragraph">
                  <wp:posOffset>135890</wp:posOffset>
                </wp:positionV>
                <wp:extent cx="339090" cy="173990"/>
                <wp:effectExtent l="14605" t="24130" r="27305" b="30480"/>
                <wp:wrapNone/>
                <wp:docPr id="47" name="自选图形 31"/>
                <wp:cNvGraphicFramePr/>
                <a:graphic xmlns:a="http://schemas.openxmlformats.org/drawingml/2006/main">
                  <a:graphicData uri="http://schemas.microsoft.com/office/word/2010/wordprocessingShape">
                    <wps:wsp>
                      <wps:cNvSpPr/>
                      <wps:spPr>
                        <a:xfrm rot="360000">
                          <a:off x="0" y="0"/>
                          <a:ext cx="33909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31" o:spid="_x0000_s1026" o:spt="2" style="position:absolute;left:0pt;margin-left:22.5pt;margin-top:10.7pt;height:13.7pt;width:26.7pt;rotation:393216f;z-index:251666432;v-text-anchor:middle;mso-width-relative:page;mso-height-relative:page;" filled="f" stroked="t" coordsize="21600,21600" arcsize="0.166666666666667" o:gfxdata="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H8R7CzXAAAABwEAAA8AAAAAAAAAAQAgAAAAIgAAAGRycy9kb3du&#10;cmV2LnhtbFBLAQIUABQAAAAIAIdO4kAYr4jaOQIAAGQEAAAOAAAAAAAAAAEAIAAAACYBAABkcnMv&#10;ZTJvRG9jLnhtbFBLBQYAAAAABgAGAFkBAADRBQAAAAA=&#10;">
                <v:fill on="f" focussize="0,0"/>
                <v:stroke weight="1.5pt" color="#FFFFFF" joinstyle="miter"/>
                <v:imagedata o:title=""/>
                <o:lock v:ext="edit" aspectratio="f"/>
              </v:roundrect>
            </w:pict>
          </mc:Fallback>
        </mc:AlternateContent>
      </w:r>
      <w:r>
        <w:rPr>
          <w:rFonts w:ascii="Times New Roman" w:hAnsi="Times New Roman" w:eastAsia="宋体"/>
        </w:rPr>
        <w:drawing>
          <wp:inline distT="0" distB="0" distL="0" distR="0">
            <wp:extent cx="1433830" cy="1399540"/>
            <wp:effectExtent l="0" t="0" r="1270" b="1016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51"/>
                    <a:srcRect l="33357" t="27242" r="17303" b="21052"/>
                    <a:stretch>
                      <a:fillRect/>
                    </a:stretch>
                  </pic:blipFill>
                  <pic:spPr>
                    <a:xfrm>
                      <a:off x="0" y="0"/>
                      <a:ext cx="1433830" cy="1399540"/>
                    </a:xfrm>
                    <a:prstGeom prst="rect">
                      <a:avLst/>
                    </a:prstGeom>
                    <a:ln>
                      <a:noFill/>
                    </a:ln>
                  </pic:spPr>
                </pic:pic>
              </a:graphicData>
            </a:graphic>
          </wp:inline>
        </w:drawing>
      </w:r>
    </w:p>
    <w:p>
      <w:pPr>
        <w:widowControl/>
        <w:spacing w:line="360" w:lineRule="auto"/>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图4  液态补缩不足导致塌陷缺陷示意图</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根据缺陷成因分析，本次问题解决从促进型腔内气体顺利排出和提高液态补缩量两个方面来进行解决。</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3 解决对策分析及验证</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3.1冒口和冷铁工艺改进</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根据图4在出现塌陷部位增加三个补缩冒口，根据热节尺寸计算冒口及冒口颈尺寸，同时根据铸件重量，依据灰铁铸件液态补缩量≥3%的原则对冒口及冒口颈尺寸进行修正，最终设计出合理的冒口及冒口颈。如图5所示。另外，从图4可以看出，上方两处出现塌陷部位，整体连接为一个整体，凝固时，中间部位为最后凝固部位，两个冒口的补缩距离不够，为解决这一问题，在两个冒口之间的贯通部位增加冷铁，切断两个冒口之间的贯通部位，达到两个冒口各自负责各自补缩的区域，同时，解决两个冒口液态补缩时互相干扰引起的一个冒口补缩一个冒口不补的问题，如图6所示。</w:t>
      </w:r>
    </w:p>
    <w:p>
      <w:pPr>
        <w:widowControl/>
        <w:spacing w:line="360" w:lineRule="auto"/>
        <w:ind w:firstLine="480" w:firstLineChars="200"/>
        <w:jc w:val="center"/>
        <w:rPr>
          <w:rFonts w:ascii="Times New Roman" w:hAnsi="Times New Roman" w:eastAsia="宋体" w:cs="Arial"/>
          <w:color w:val="000000"/>
          <w:kern w:val="0"/>
          <w:sz w:val="24"/>
        </w:rPr>
      </w:pPr>
      <w:r>
        <w:rPr>
          <w:rFonts w:hint="eastAsia" w:ascii="Times New Roman" w:hAnsi="Times New Roman" w:eastAsia="宋体" w:cs="Arial"/>
          <w:color w:val="000000"/>
          <w:kern w:val="0"/>
          <w:sz w:val="24"/>
        </w:rPr>
        <w:drawing>
          <wp:inline distT="0" distB="0" distL="114300" distR="114300">
            <wp:extent cx="852170" cy="1752600"/>
            <wp:effectExtent l="0" t="0" r="11430" b="0"/>
            <wp:docPr id="61" name="图片 61" descr="mmexport166919479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mmexport1669194790196"/>
                    <pic:cNvPicPr>
                      <a:picLocks noChangeAspect="1"/>
                    </pic:cNvPicPr>
                  </pic:nvPicPr>
                  <pic:blipFill>
                    <a:blip r:embed="rId52"/>
                    <a:srcRect l="48924" t="3955" r="22356" b="9069"/>
                    <a:stretch>
                      <a:fillRect/>
                    </a:stretch>
                  </pic:blipFill>
                  <pic:spPr>
                    <a:xfrm>
                      <a:off x="0" y="0"/>
                      <a:ext cx="852170" cy="1752600"/>
                    </a:xfrm>
                    <a:prstGeom prst="rect">
                      <a:avLst/>
                    </a:prstGeom>
                  </pic:spPr>
                </pic:pic>
              </a:graphicData>
            </a:graphic>
          </wp:inline>
        </w:drawing>
      </w:r>
      <w:r>
        <w:rPr>
          <w:rFonts w:hint="eastAsia" w:ascii="Times New Roman" w:hAnsi="Times New Roman" w:eastAsia="宋体" w:cs="Arial"/>
          <w:color w:val="000000"/>
          <w:kern w:val="0"/>
          <w:sz w:val="24"/>
          <w:lang w:val="en-US" w:eastAsia="zh-CN"/>
        </w:rPr>
        <w:t xml:space="preserve">  </w:t>
      </w:r>
      <w:r>
        <w:rPr>
          <w:rFonts w:hint="eastAsia" w:ascii="Times New Roman" w:hAnsi="Times New Roman" w:eastAsia="宋体" w:cs="Arial"/>
          <w:color w:val="000000"/>
          <w:kern w:val="0"/>
          <w:sz w:val="24"/>
        </w:rPr>
        <w:drawing>
          <wp:inline distT="0" distB="0" distL="114300" distR="114300">
            <wp:extent cx="1337310" cy="1753870"/>
            <wp:effectExtent l="0" t="0" r="8890" b="11430"/>
            <wp:docPr id="67" name="图片 67" descr="mmexport166919479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mmexport1669194790196"/>
                    <pic:cNvPicPr>
                      <a:picLocks noChangeAspect="1"/>
                    </pic:cNvPicPr>
                  </pic:nvPicPr>
                  <pic:blipFill>
                    <a:blip r:embed="rId52"/>
                    <a:srcRect l="8170" r="46910" b="13194"/>
                    <a:stretch>
                      <a:fillRect/>
                    </a:stretch>
                  </pic:blipFill>
                  <pic:spPr>
                    <a:xfrm>
                      <a:off x="0" y="0"/>
                      <a:ext cx="1337310" cy="1753870"/>
                    </a:xfrm>
                    <a:prstGeom prst="rect">
                      <a:avLst/>
                    </a:prstGeom>
                  </pic:spPr>
                </pic:pic>
              </a:graphicData>
            </a:graphic>
          </wp:inline>
        </w:drawing>
      </w:r>
    </w:p>
    <w:p>
      <w:pPr>
        <w:widowControl/>
        <w:spacing w:line="240" w:lineRule="auto"/>
        <w:ind w:firstLine="420" w:firstLineChars="200"/>
        <w:rPr>
          <w:rFonts w:ascii="Times New Roman" w:hAnsi="Times New Roman" w:eastAsia="宋体" w:cs="Arial"/>
          <w:color w:val="000000"/>
          <w:kern w:val="0"/>
          <w:szCs w:val="21"/>
        </w:rPr>
      </w:pPr>
      <w:r>
        <w:rPr>
          <w:rFonts w:hint="eastAsia" w:ascii="Times New Roman" w:hAnsi="Times New Roman" w:eastAsia="宋体" w:cs="Arial"/>
          <w:color w:val="000000"/>
          <w:kern w:val="0"/>
          <w:szCs w:val="21"/>
        </w:rPr>
        <w:t xml:space="preserve">    </w:t>
      </w:r>
      <w:r>
        <w:rPr>
          <w:rFonts w:hint="eastAsia" w:ascii="Times New Roman" w:hAnsi="Times New Roman" w:eastAsia="宋体" w:cs="Arial"/>
          <w:color w:val="000000"/>
          <w:kern w:val="0"/>
          <w:szCs w:val="21"/>
          <w:lang w:val="en-US" w:eastAsia="zh-CN"/>
        </w:rPr>
        <w:t xml:space="preserve">                 </w:t>
      </w:r>
      <w:r>
        <w:rPr>
          <w:rFonts w:hint="eastAsia" w:ascii="仿宋" w:hAnsi="仿宋" w:eastAsia="仿宋" w:cs="仿宋"/>
          <w:color w:val="000000"/>
          <w:kern w:val="0"/>
          <w:sz w:val="24"/>
          <w:szCs w:val="24"/>
        </w:rPr>
        <w:t xml:space="preserve"> a) 冒口       b )冒口颈盒    </w:t>
      </w:r>
      <w:r>
        <w:rPr>
          <w:rFonts w:hint="eastAsia" w:ascii="Times New Roman" w:hAnsi="Times New Roman" w:eastAsia="宋体" w:cs="Arial"/>
          <w:color w:val="000000"/>
          <w:kern w:val="0"/>
          <w:szCs w:val="21"/>
        </w:rPr>
        <w:t xml:space="preserve">   </w:t>
      </w:r>
    </w:p>
    <w:p>
      <w:pPr>
        <w:widowControl/>
        <w:spacing w:line="240" w:lineRule="auto"/>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图5  冒口及冒口颈</w:t>
      </w:r>
    </w:p>
    <w:p>
      <w:pPr>
        <w:widowControl/>
        <w:spacing w:line="360" w:lineRule="auto"/>
        <w:ind w:firstLine="210" w:firstLineChars="100"/>
        <w:jc w:val="center"/>
        <w:rPr>
          <w:rFonts w:ascii="Times New Roman" w:hAnsi="Times New Roman" w:eastAsia="宋体"/>
          <w:sz w:val="28"/>
          <w:szCs w:val="36"/>
        </w:rPr>
      </w:pPr>
      <w:r>
        <w:rPr>
          <w:rFonts w:ascii="Times New Roman" w:hAnsi="Times New Roman" w:eastAsia="宋体" w:cs="Arial"/>
          <w:color w:val="000000"/>
          <w:kern w:val="0"/>
          <w:szCs w:val="21"/>
        </w:rPr>
        <mc:AlternateContent>
          <mc:Choice Requires="wps">
            <w:drawing>
              <wp:anchor distT="0" distB="0" distL="114300" distR="114300" simplePos="0" relativeHeight="251676672" behindDoc="0" locked="0" layoutInCell="1" allowOverlap="1">
                <wp:simplePos x="0" y="0"/>
                <wp:positionH relativeFrom="column">
                  <wp:posOffset>2411095</wp:posOffset>
                </wp:positionH>
                <wp:positionV relativeFrom="paragraph">
                  <wp:posOffset>895350</wp:posOffset>
                </wp:positionV>
                <wp:extent cx="198755" cy="125730"/>
                <wp:effectExtent l="9525" t="9525" r="20320" b="17145"/>
                <wp:wrapNone/>
                <wp:docPr id="68" name="自选图形 43"/>
                <wp:cNvGraphicFramePr/>
                <a:graphic xmlns:a="http://schemas.openxmlformats.org/drawingml/2006/main">
                  <a:graphicData uri="http://schemas.microsoft.com/office/word/2010/wordprocessingShape">
                    <wps:wsp>
                      <wps:cNvSpPr/>
                      <wps:spPr>
                        <a:xfrm>
                          <a:off x="0" y="0"/>
                          <a:ext cx="198755" cy="12573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43" o:spid="_x0000_s1026" o:spt="2" style="position:absolute;left:0pt;margin-left:189.85pt;margin-top:70.5pt;height:9.9pt;width:15.65pt;z-index:251676672;v-text-anchor:middle;mso-width-relative:page;mso-height-relative:page;" filled="f" stroked="t" coordsize="21600,21600" arcsize="0.166666666666667" o:gfxdata="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7ILLE2gAAAAsBAAAPAAAAAAAAAAEAIAAAACIAAABkcnMvZG93bnJl&#10;di54bWxQSwECFAAUAAAACACHTuJA31/oFTQCAABXBAAADgAAAAAAAAABACAAAAApAQAAZHJzL2Uy&#10;b0RvYy54bWxQSwUGAAAAAAYABgBZAQAAzwUAAAAA&#10;">
                <v:fill on="f" focussize="0,0"/>
                <v:stroke weight="1.5pt" color="#FFFFFF" joinstyle="miter"/>
                <v:imagedata o:title=""/>
                <o:lock v:ext="edit" aspectratio="f"/>
              </v:roundrect>
            </w:pict>
          </mc:Fallback>
        </mc:AlternateContent>
      </w:r>
      <w:r>
        <w:rPr>
          <w:rFonts w:ascii="Times New Roman" w:hAnsi="Times New Roman" w:eastAsia="宋体" w:cs="Arial"/>
          <w:color w:val="000000"/>
          <w:kern w:val="0"/>
          <w:szCs w:val="21"/>
        </w:rPr>
        <mc:AlternateContent>
          <mc:Choice Requires="wps">
            <w:drawing>
              <wp:anchor distT="0" distB="0" distL="114300" distR="114300" simplePos="0" relativeHeight="251675648" behindDoc="0" locked="0" layoutInCell="1" allowOverlap="1">
                <wp:simplePos x="0" y="0"/>
                <wp:positionH relativeFrom="column">
                  <wp:posOffset>1180465</wp:posOffset>
                </wp:positionH>
                <wp:positionV relativeFrom="paragraph">
                  <wp:posOffset>895350</wp:posOffset>
                </wp:positionV>
                <wp:extent cx="198755" cy="125730"/>
                <wp:effectExtent l="9525" t="9525" r="20320" b="17145"/>
                <wp:wrapNone/>
                <wp:docPr id="69" name="自选图形 42"/>
                <wp:cNvGraphicFramePr/>
                <a:graphic xmlns:a="http://schemas.openxmlformats.org/drawingml/2006/main">
                  <a:graphicData uri="http://schemas.microsoft.com/office/word/2010/wordprocessingShape">
                    <wps:wsp>
                      <wps:cNvSpPr/>
                      <wps:spPr>
                        <a:xfrm>
                          <a:off x="0" y="0"/>
                          <a:ext cx="198755" cy="12573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42" o:spid="_x0000_s1026" o:spt="2" style="position:absolute;left:0pt;margin-left:92.95pt;margin-top:70.5pt;height:9.9pt;width:15.65pt;z-index:251675648;v-text-anchor:middle;mso-width-relative:page;mso-height-relative:page;" filled="f" stroked="t" coordsize="21600,21600" arcsize="0.166666666666667" o:gfxdata="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IjUXI9sAAAALAQAADwAAAAAAAAABACAAAAAiAAAAZHJzL2Rvd25y&#10;ZXYueG1sUEsBAhQAFAAAAAgAh07iQBfnGxY0AgAAVwQAAA4AAAAAAAAAAQAgAAAAKgEAAGRycy9l&#10;Mm9Eb2MueG1sUEsFBgAAAAAGAAYAWQEAANAFAAAAAA==&#10;">
                <v:fill on="f" focussize="0,0"/>
                <v:stroke weight="1.5pt" color="#FFFFFF" joinstyle="miter"/>
                <v:imagedata o:title=""/>
                <o:lock v:ext="edit" aspectratio="f"/>
              </v:roundrect>
            </w:pict>
          </mc:Fallback>
        </mc:AlternateContent>
      </w:r>
      <w:r>
        <w:rPr>
          <w:rFonts w:ascii="Times New Roman" w:hAnsi="Times New Roman" w:eastAsia="宋体" w:cs="Arial"/>
          <w:color w:val="000000"/>
          <w:kern w:val="0"/>
          <w:szCs w:val="21"/>
        </w:rPr>
        <mc:AlternateContent>
          <mc:Choice Requires="wps">
            <w:drawing>
              <wp:anchor distT="0" distB="0" distL="114300" distR="114300" simplePos="0" relativeHeight="251674624" behindDoc="0" locked="0" layoutInCell="1" allowOverlap="1">
                <wp:simplePos x="0" y="0"/>
                <wp:positionH relativeFrom="column">
                  <wp:posOffset>366395</wp:posOffset>
                </wp:positionH>
                <wp:positionV relativeFrom="paragraph">
                  <wp:posOffset>305435</wp:posOffset>
                </wp:positionV>
                <wp:extent cx="861060" cy="173990"/>
                <wp:effectExtent l="9525" t="9525" r="24765" b="26035"/>
                <wp:wrapNone/>
                <wp:docPr id="70" name="自选图形 41"/>
                <wp:cNvGraphicFramePr/>
                <a:graphic xmlns:a="http://schemas.openxmlformats.org/drawingml/2006/main">
                  <a:graphicData uri="http://schemas.microsoft.com/office/word/2010/wordprocessingShape">
                    <wps:wsp>
                      <wps:cNvSpPr/>
                      <wps:spPr>
                        <a:xfrm>
                          <a:off x="0" y="0"/>
                          <a:ext cx="861060" cy="17399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41" o:spid="_x0000_s1026" o:spt="2" style="position:absolute;left:0pt;margin-left:28.85pt;margin-top:24.05pt;height:13.7pt;width:67.8pt;z-index:251674624;v-text-anchor:middle;mso-width-relative:page;mso-height-relative:page;" filled="f" stroked="t" coordsize="21600,21600" arcsize="0.166666666666667" o:gfxdata="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nwmEk2QAAAAgBAAAPAAAAAAAAAAEAIAAAACIAAABkcnMvZG93bnJldi54&#10;bWxQSwECFAAUAAAACACHTuJAlxkPfTICAABXBAAADgAAAAAAAAABACAAAAAoAQAAZHJzL2Uyb0Rv&#10;Yy54bWxQSwUGAAAAAAYABgBZAQAAzAUAAAAA&#10;">
                <v:fill on="f" focussize="0,0"/>
                <v:stroke weight="1.5pt" color="#FFFFFF" joinstyle="miter"/>
                <v:imagedata o:title=""/>
                <o:lock v:ext="edit" aspectratio="f"/>
              </v:roundrect>
            </w:pict>
          </mc:Fallback>
        </mc:AlternateContent>
      </w:r>
      <w:r>
        <w:rPr>
          <w:rFonts w:ascii="Times New Roman" w:hAnsi="Times New Roman" w:eastAsia="宋体"/>
        </w:rPr>
        <w:drawing>
          <wp:inline distT="0" distB="0" distL="0" distR="0">
            <wp:extent cx="1267460" cy="1172210"/>
            <wp:effectExtent l="0" t="0" r="254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53"/>
                    <a:srcRect l="38086" t="25890" r="19085" b="10760"/>
                    <a:stretch>
                      <a:fillRect/>
                    </a:stretch>
                  </pic:blipFill>
                  <pic:spPr>
                    <a:xfrm>
                      <a:off x="0" y="0"/>
                      <a:ext cx="1267460" cy="1172210"/>
                    </a:xfrm>
                    <a:prstGeom prst="rect">
                      <a:avLst/>
                    </a:prstGeom>
                    <a:ln>
                      <a:noFill/>
                    </a:ln>
                  </pic:spPr>
                </pic:pic>
              </a:graphicData>
            </a:graphic>
          </wp:inline>
        </w:drawing>
      </w:r>
      <w:r>
        <w:rPr>
          <w:rFonts w:hint="eastAsia" w:ascii="Times New Roman" w:hAnsi="Times New Roman" w:eastAsia="宋体"/>
          <w:lang w:val="en-US" w:eastAsia="zh-CN"/>
        </w:rPr>
        <w:t xml:space="preserve">  </w:t>
      </w:r>
      <w:r>
        <w:rPr>
          <w:rFonts w:ascii="Times New Roman" w:hAnsi="Times New Roman" w:eastAsia="宋体"/>
        </w:rPr>
        <w:drawing>
          <wp:inline distT="0" distB="0" distL="0" distR="0">
            <wp:extent cx="1262380" cy="1190625"/>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54"/>
                    <a:srcRect l="39082" t="24298" r="17092" b="9563"/>
                    <a:stretch>
                      <a:fillRect/>
                    </a:stretch>
                  </pic:blipFill>
                  <pic:spPr>
                    <a:xfrm>
                      <a:off x="0" y="0"/>
                      <a:ext cx="1270956" cy="1198741"/>
                    </a:xfrm>
                    <a:prstGeom prst="rect">
                      <a:avLst/>
                    </a:prstGeom>
                    <a:ln>
                      <a:noFill/>
                    </a:ln>
                  </pic:spPr>
                </pic:pic>
              </a:graphicData>
            </a:graphic>
          </wp:inline>
        </w:drawing>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rPr>
        <w:t>图6  冷铁工艺</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3.2提高浇注系统液态补缩能力</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因采取倾斜浇注方式，浇注结束后，位于倾斜后低点的直浇道液态补缩过程中对型腔内压力不足，同时因直浇道尺寸偏小对型腔内的液态补缩量也不足，开箱过程中发现，直浇道最高面已低于上型腔高度。鉴于以上因素，新设计高度300 mm的砂台，增加浇注系统对型腔内的液态补缩压头，同时增加浇注系统的液态补缩量，如图7所示。</w:t>
      </w:r>
    </w:p>
    <w:p>
      <w:pPr>
        <w:widowControl/>
        <w:spacing w:line="360" w:lineRule="auto"/>
        <w:ind w:firstLine="480"/>
        <w:jc w:val="center"/>
        <w:rPr>
          <w:rFonts w:ascii="Times New Roman" w:hAnsi="Times New Roman" w:eastAsia="宋体" w:cs="Arial"/>
          <w:color w:val="000000"/>
          <w:kern w:val="0"/>
          <w:sz w:val="24"/>
        </w:rPr>
      </w:pPr>
      <w:r>
        <w:rPr>
          <w:rFonts w:ascii="Times New Roman" w:hAnsi="Times New Roman" w:eastAsia="宋体" w:cs="Arial"/>
          <w:color w:val="000000"/>
          <w:kern w:val="0"/>
          <w:sz w:val="24"/>
        </w:rPr>
        <w:drawing>
          <wp:inline distT="0" distB="0" distL="0" distR="0">
            <wp:extent cx="2063750" cy="1806575"/>
            <wp:effectExtent l="0" t="0" r="6350" b="9525"/>
            <wp:docPr id="79" name="图片 79" descr="C:\Users\liyg\Downloads\1667966897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C:\Users\liyg\Downloads\1667966897229.jpg"/>
                    <pic:cNvPicPr>
                      <a:picLocks noChangeAspect="1" noChangeArrowheads="1"/>
                    </pic:cNvPicPr>
                  </pic:nvPicPr>
                  <pic:blipFill>
                    <a:blip r:embed="rId55" cstate="print">
                      <a:extLst>
                        <a:ext uri="{28A0092B-C50C-407E-A947-70E740481C1C}">
                          <a14:useLocalDpi xmlns:a14="http://schemas.microsoft.com/office/drawing/2010/main" val="0"/>
                        </a:ext>
                      </a:extLst>
                    </a:blip>
                    <a:srcRect t="28565" b="32038"/>
                    <a:stretch>
                      <a:fillRect/>
                    </a:stretch>
                  </pic:blipFill>
                  <pic:spPr>
                    <a:xfrm>
                      <a:off x="0" y="0"/>
                      <a:ext cx="2063750" cy="1806575"/>
                    </a:xfrm>
                    <a:prstGeom prst="rect">
                      <a:avLst/>
                    </a:prstGeom>
                    <a:noFill/>
                    <a:ln>
                      <a:noFill/>
                    </a:ln>
                  </pic:spPr>
                </pic:pic>
              </a:graphicData>
            </a:graphic>
          </wp:inline>
        </w:drawing>
      </w:r>
      <w:r>
        <w:rPr>
          <w:rFonts w:ascii="Times New Roman" w:hAnsi="Times New Roman" w:eastAsia="宋体" w:cs="Arial"/>
          <w:color w:val="000000"/>
          <w:kern w:val="0"/>
          <w:sz w:val="24"/>
        </w:rPr>
        <mc:AlternateContent>
          <mc:Choice Requires="wps">
            <w:drawing>
              <wp:anchor distT="0" distB="0" distL="114300" distR="114300" simplePos="0" relativeHeight="251677696" behindDoc="0" locked="0" layoutInCell="1" allowOverlap="1">
                <wp:simplePos x="0" y="0"/>
                <wp:positionH relativeFrom="column">
                  <wp:posOffset>918210</wp:posOffset>
                </wp:positionH>
                <wp:positionV relativeFrom="paragraph">
                  <wp:posOffset>948690</wp:posOffset>
                </wp:positionV>
                <wp:extent cx="972820" cy="383540"/>
                <wp:effectExtent l="24130" t="72390" r="31750" b="77470"/>
                <wp:wrapNone/>
                <wp:docPr id="78" name="自选图形 44"/>
                <wp:cNvGraphicFramePr/>
                <a:graphic xmlns:a="http://schemas.openxmlformats.org/drawingml/2006/main">
                  <a:graphicData uri="http://schemas.microsoft.com/office/word/2010/wordprocessingShape">
                    <wps:wsp>
                      <wps:cNvSpPr/>
                      <wps:spPr>
                        <a:xfrm rot="-526473">
                          <a:off x="0" y="0"/>
                          <a:ext cx="972820" cy="383540"/>
                        </a:xfrm>
                        <a:prstGeom prst="roundRect">
                          <a:avLst>
                            <a:gd name="adj" fmla="val 16667"/>
                          </a:avLst>
                        </a:prstGeom>
                        <a:noFill/>
                        <a:ln w="19050" cap="flat" cmpd="sng">
                          <a:solidFill>
                            <a:srgbClr val="FFFFFF"/>
                          </a:solidFill>
                          <a:prstDash val="solid"/>
                          <a:miter/>
                          <a:headEnd type="none" w="med" len="med"/>
                          <a:tailEnd type="none" w="med" len="med"/>
                        </a:ln>
                        <a:effectLst/>
                      </wps:spPr>
                      <wps:bodyPr anchor="ctr" anchorCtr="0" upright="1"/>
                    </wps:wsp>
                  </a:graphicData>
                </a:graphic>
              </wp:anchor>
            </w:drawing>
          </mc:Choice>
          <mc:Fallback>
            <w:pict>
              <v:roundrect id="自选图形 44" o:spid="_x0000_s1026" o:spt="2" style="position:absolute;left:0pt;margin-left:72.3pt;margin-top:74.7pt;height:30.2pt;width:76.6pt;rotation:-575049f;z-index:251677696;v-text-anchor:middle;mso-width-relative:page;mso-height-relative:page;" filled="f" stroked="t" coordsize="21600,21600" arcsize="0.166666666666667" o:gfxdata="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DrmFdcAAAALAQAADwAAAAAAAAABACAAAAAiAAAAZHJz&#10;L2Rvd25yZXYueG1sUEsBAhQAFAAAAAgAh07iQJ7Y3wE+AgAAZQQAAA4AAAAAAAAAAQAgAAAAJgEA&#10;AGRycy9lMm9Eb2MueG1sUEsFBgAAAAAGAAYAWQEAANYFAAAAAA==&#10;">
                <v:fill on="f" focussize="0,0"/>
                <v:stroke weight="1.5pt" color="#FFFFFF" joinstyle="miter"/>
                <v:imagedata o:title=""/>
                <o:lock v:ext="edit" aspectratio="f"/>
              </v:roundrect>
            </w:pict>
          </mc:Fallback>
        </mc:AlternateContent>
      </w:r>
    </w:p>
    <w:p>
      <w:pPr>
        <w:spacing w:line="360" w:lineRule="auto"/>
        <w:jc w:val="center"/>
        <w:rPr>
          <w:rFonts w:hint="eastAsia" w:ascii="仿宋" w:hAnsi="仿宋" w:eastAsia="仿宋" w:cs="仿宋"/>
          <w:sz w:val="24"/>
          <w:szCs w:val="32"/>
        </w:rPr>
      </w:pPr>
      <w:r>
        <w:rPr>
          <w:rFonts w:hint="eastAsia" w:ascii="仿宋" w:hAnsi="仿宋" w:eastAsia="仿宋" w:cs="仿宋"/>
          <w:sz w:val="24"/>
          <w:szCs w:val="32"/>
        </w:rPr>
        <w:t>图7  砂台工艺</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3.3 延长浇注时间提高型内排气能力</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根据浇注模拟结果，要求浇注时，浇口芯内液面高度由原来保持注满状态调整为液面高度保持在浇口芯1/2～2/3之间，浇注时间由20 s延长至30 s左右。</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3.4 验证结果</w:t>
      </w:r>
    </w:p>
    <w:p>
      <w:pPr>
        <w:spacing w:line="360" w:lineRule="auto"/>
        <w:ind w:firstLine="480" w:firstLineChars="200"/>
        <w:rPr>
          <w:rFonts w:hint="eastAsia" w:ascii="仿宋" w:hAnsi="仿宋" w:eastAsia="仿宋" w:cs="仿宋"/>
          <w:sz w:val="24"/>
          <w:szCs w:val="32"/>
        </w:rPr>
      </w:pPr>
      <w:r>
        <w:rPr>
          <w:rFonts w:hint="eastAsia" w:ascii="仿宋" w:hAnsi="仿宋" w:eastAsia="仿宋" w:cs="仿宋"/>
          <w:sz w:val="24"/>
          <w:szCs w:val="32"/>
        </w:rPr>
        <w:t>通过上述措施的改进，共生产验证78件，跟踪发现塌陷缺陷率由原来的70%以上降低至0%，措施取得了良好的效果，问题得到有效解决。</w:t>
      </w:r>
    </w:p>
    <w:p>
      <w:pPr>
        <w:spacing w:line="360" w:lineRule="auto"/>
        <w:rPr>
          <w:rFonts w:hint="eastAsia" w:ascii="仿宋" w:hAnsi="仿宋" w:eastAsia="仿宋" w:cs="仿宋"/>
          <w:sz w:val="24"/>
          <w:szCs w:val="32"/>
        </w:rPr>
      </w:pPr>
      <w:r>
        <w:rPr>
          <w:rFonts w:hint="eastAsia" w:ascii="仿宋" w:hAnsi="仿宋" w:eastAsia="仿宋" w:cs="仿宋"/>
          <w:sz w:val="24"/>
          <w:szCs w:val="32"/>
        </w:rPr>
        <w:t>综上所述，对于壳类铸件，尤其是壁厚变化剧烈的铸件，塌陷缺陷仍为造成废品的一个主要原因。所以需要对塌陷缺陷引起重视，因其形成原因多为浇注系统工艺、冷铁与冒口工艺和排气工艺等多种因素设计不合理综合导致的结果，针对塌陷缺陷发生的原因不一，针对性的改进措施也不相同，需充分收集数据分析透彻之后在进行改进。</w:t>
      </w:r>
    </w:p>
    <w:p>
      <w:pPr>
        <w:spacing w:line="360" w:lineRule="auto"/>
        <w:rPr>
          <w:rFonts w:hint="eastAsia" w:ascii="仿宋" w:hAnsi="仿宋" w:eastAsia="仿宋" w:cs="仿宋"/>
          <w:b/>
          <w:bCs/>
          <w:sz w:val="24"/>
          <w:szCs w:val="32"/>
        </w:rPr>
      </w:pPr>
      <w:r>
        <w:rPr>
          <w:rFonts w:hint="eastAsia" w:ascii="仿宋" w:hAnsi="仿宋" w:eastAsia="仿宋" w:cs="仿宋"/>
          <w:b/>
          <w:bCs/>
          <w:sz w:val="24"/>
          <w:szCs w:val="32"/>
        </w:rPr>
        <w:t>4 结 论</w:t>
      </w:r>
    </w:p>
    <w:p>
      <w:pPr>
        <w:spacing w:line="360" w:lineRule="auto"/>
        <w:rPr>
          <w:rFonts w:hint="eastAsia" w:ascii="仿宋" w:hAnsi="仿宋" w:eastAsia="仿宋" w:cs="仿宋"/>
          <w:sz w:val="24"/>
          <w:szCs w:val="32"/>
        </w:rPr>
      </w:pPr>
      <w:r>
        <w:rPr>
          <w:rFonts w:hint="eastAsia" w:ascii="仿宋" w:hAnsi="仿宋" w:eastAsia="仿宋" w:cs="仿宋"/>
          <w:sz w:val="24"/>
          <w:szCs w:val="32"/>
        </w:rPr>
        <w:t xml:space="preserve">  在日常生产过程中，壳类铸件塌陷问题普遍存在，需重点从以下几个方面着手解决问题。</w:t>
      </w:r>
    </w:p>
    <w:p>
      <w:pPr>
        <w:spacing w:line="360" w:lineRule="auto"/>
        <w:ind w:firstLine="240" w:firstLineChars="100"/>
        <w:rPr>
          <w:rFonts w:hint="eastAsia" w:ascii="仿宋" w:hAnsi="仿宋" w:eastAsia="仿宋" w:cs="仿宋"/>
          <w:sz w:val="24"/>
          <w:szCs w:val="32"/>
        </w:rPr>
      </w:pPr>
      <w:r>
        <w:rPr>
          <w:rFonts w:hint="eastAsia" w:ascii="仿宋" w:hAnsi="仿宋" w:eastAsia="仿宋" w:cs="仿宋"/>
          <w:sz w:val="24"/>
          <w:szCs w:val="32"/>
        </w:rPr>
        <w:t>（1） 合理设计液态补缩量，液态补缩量包括冒口系统和浇注系统两部分，要充分借鉴铸造模拟手段和经验数据确定合理的液态补缩量。</w:t>
      </w:r>
    </w:p>
    <w:p>
      <w:pPr>
        <w:spacing w:line="360" w:lineRule="auto"/>
        <w:ind w:firstLine="240" w:firstLineChars="100"/>
        <w:rPr>
          <w:rFonts w:hint="eastAsia" w:ascii="仿宋" w:hAnsi="仿宋" w:eastAsia="仿宋" w:cs="仿宋"/>
          <w:sz w:val="24"/>
          <w:szCs w:val="32"/>
        </w:rPr>
      </w:pPr>
      <w:r>
        <w:rPr>
          <w:rFonts w:hint="eastAsia" w:ascii="仿宋" w:hAnsi="仿宋" w:eastAsia="仿宋" w:cs="仿宋"/>
          <w:sz w:val="24"/>
          <w:szCs w:val="32"/>
        </w:rPr>
        <w:t>（2） 仔细分析断面壁厚过渡剧烈部位，统筹考虑冒口有效补缩距离，通过冷铁与冒口配合设计，对该缺陷有较好效果。</w:t>
      </w:r>
    </w:p>
    <w:p>
      <w:pPr>
        <w:spacing w:line="360" w:lineRule="auto"/>
        <w:ind w:firstLine="240" w:firstLineChars="100"/>
        <w:rPr>
          <w:rFonts w:hint="eastAsia" w:ascii="仿宋" w:hAnsi="仿宋" w:eastAsia="仿宋" w:cs="仿宋"/>
          <w:sz w:val="24"/>
          <w:szCs w:val="32"/>
        </w:rPr>
      </w:pPr>
      <w:r>
        <w:rPr>
          <w:rFonts w:hint="eastAsia" w:ascii="仿宋" w:hAnsi="仿宋" w:eastAsia="仿宋" w:cs="仿宋"/>
          <w:sz w:val="24"/>
          <w:szCs w:val="32"/>
        </w:rPr>
        <w:t>（3） 该类铸件浇注过程中容易产生假象，因气体压力将铁水顶出，而实际铁水尚未完全充满型腔，停止浇注极易导致该缺陷产生，因此，要选用开放式或半开放式的浇注系统，避免紊流导致卷气发生，也可通过适当延长浇注时间确保铁水内气体有效排出。</w:t>
      </w:r>
    </w:p>
    <w:p>
      <w:pPr>
        <w:spacing w:line="360" w:lineRule="auto"/>
        <w:rPr>
          <w:rFonts w:hint="eastAsia" w:ascii="仿宋" w:hAnsi="仿宋" w:eastAsia="仿宋" w:cs="仿宋"/>
          <w:b/>
          <w:bCs/>
          <w:color w:val="auto"/>
          <w:sz w:val="28"/>
          <w:szCs w:val="36"/>
          <w:lang w:val="en-US" w:eastAsia="zh-CN"/>
        </w:rPr>
      </w:pPr>
      <w:r>
        <w:rPr>
          <w:rFonts w:hint="eastAsia" w:ascii="仿宋" w:hAnsi="仿宋" w:eastAsia="仿宋" w:cs="仿宋"/>
          <w:sz w:val="24"/>
          <w:szCs w:val="32"/>
        </w:rPr>
        <w:t>作者简介</w:t>
      </w:r>
      <w:r>
        <w:rPr>
          <w:rFonts w:hint="eastAsia" w:ascii="仿宋" w:hAnsi="仿宋" w:eastAsia="仿宋" w:cs="仿宋"/>
          <w:sz w:val="24"/>
          <w:szCs w:val="32"/>
          <w:lang w:val="en-US" w:eastAsia="zh-CN"/>
        </w:rPr>
        <w:t xml:space="preserve"> </w:t>
      </w:r>
      <w:r>
        <w:rPr>
          <w:rFonts w:hint="eastAsia" w:ascii="仿宋" w:hAnsi="仿宋" w:eastAsia="仿宋" w:cs="仿宋"/>
          <w:sz w:val="24"/>
          <w:szCs w:val="32"/>
        </w:rPr>
        <w:t>李永刚（1979—），男，高级工程师，从事铸造生产工艺设计开发及质量控制。</w:t>
      </w:r>
      <w:r>
        <w:rPr>
          <w:rFonts w:hint="eastAsia" w:ascii="仿宋" w:hAnsi="仿宋" w:eastAsia="仿宋" w:cs="仿宋"/>
          <w:sz w:val="24"/>
          <w:szCs w:val="32"/>
          <w:lang w:val="en-US" w:eastAsia="zh-CN"/>
        </w:rPr>
        <w:t xml:space="preserve"> </w:t>
      </w:r>
      <w:r>
        <w:rPr>
          <w:rFonts w:hint="eastAsia" w:ascii="仿宋" w:hAnsi="仿宋" w:eastAsia="仿宋" w:cs="仿宋"/>
          <w:kern w:val="0"/>
          <w:sz w:val="21"/>
          <w:szCs w:val="21"/>
          <w:lang w:eastAsia="zh-CN" w:bidi="ar"/>
        </w:rPr>
        <w:t>(摘选自《铸造设备与工艺》</w:t>
      </w:r>
      <w:r>
        <w:rPr>
          <w:rFonts w:hint="eastAsia" w:ascii="仿宋" w:hAnsi="仿宋" w:eastAsia="仿宋" w:cs="仿宋"/>
          <w:kern w:val="0"/>
          <w:sz w:val="21"/>
          <w:szCs w:val="21"/>
          <w:lang w:val="en-US" w:eastAsia="zh-CN" w:bidi="ar"/>
        </w:rPr>
        <w:t>2022年-6期</w:t>
      </w:r>
      <w:r>
        <w:rPr>
          <w:rFonts w:hint="eastAsia" w:ascii="仿宋" w:hAnsi="仿宋" w:eastAsia="仿宋" w:cs="仿宋"/>
          <w:kern w:val="0"/>
          <w:sz w:val="21"/>
          <w:szCs w:val="21"/>
          <w:lang w:eastAsia="zh-CN" w:bidi="ar"/>
        </w:rPr>
        <w:t>）</w:t>
      </w:r>
    </w:p>
    <w:p>
      <w:pPr>
        <w:spacing w:line="360" w:lineRule="auto"/>
        <w:jc w:val="both"/>
        <w:rPr>
          <w:rFonts w:hint="eastAsia" w:ascii="仿宋" w:hAnsi="仿宋" w:eastAsia="仿宋" w:cs="仿宋"/>
          <w:b/>
          <w:bCs/>
          <w:color w:val="auto"/>
          <w:sz w:val="28"/>
          <w:szCs w:val="36"/>
          <w:lang w:val="en-US" w:eastAsia="zh-CN"/>
        </w:rPr>
      </w:pPr>
    </w:p>
    <w:p>
      <w:pPr>
        <w:spacing w:line="360" w:lineRule="auto"/>
        <w:jc w:val="both"/>
        <w:rPr>
          <w:rFonts w:hint="eastAsia" w:ascii="仿宋" w:hAnsi="仿宋" w:eastAsia="仿宋" w:cs="仿宋"/>
          <w:b w:val="0"/>
          <w:bCs w:val="0"/>
          <w:color w:val="auto"/>
          <w:sz w:val="28"/>
          <w:szCs w:val="36"/>
          <w:lang w:val="en-US" w:eastAsia="zh-CN"/>
        </w:rPr>
      </w:pPr>
      <w:r>
        <w:rPr>
          <w:rFonts w:hint="eastAsia" w:ascii="仿宋" w:hAnsi="仿宋" w:eastAsia="仿宋" w:cs="仿宋"/>
          <w:b/>
          <w:bCs/>
          <w:color w:val="auto"/>
          <w:sz w:val="28"/>
          <w:szCs w:val="36"/>
          <w:lang w:val="en-US" w:eastAsia="zh-CN"/>
        </w:rPr>
        <w:t>7.2 山西铸协技术服务项目</w:t>
      </w:r>
    </w:p>
    <w:p>
      <w:pPr>
        <w:spacing w:line="360" w:lineRule="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1、铸造行业专题培训；</w:t>
      </w:r>
    </w:p>
    <w:p>
      <w:pPr>
        <w:spacing w:line="360" w:lineRule="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2、提供技术</w:t>
      </w:r>
      <w:r>
        <w:rPr>
          <w:rFonts w:hint="eastAsia" w:ascii="仿宋" w:hAnsi="仿宋" w:eastAsia="仿宋" w:cs="仿宋"/>
          <w:sz w:val="24"/>
          <w:szCs w:val="32"/>
          <w:lang w:eastAsia="zh-CN"/>
        </w:rPr>
        <w:t>咨询、</w:t>
      </w:r>
      <w:r>
        <w:rPr>
          <w:rFonts w:hint="eastAsia" w:ascii="仿宋" w:hAnsi="仿宋" w:eastAsia="仿宋" w:cs="仿宋"/>
          <w:sz w:val="24"/>
          <w:szCs w:val="32"/>
        </w:rPr>
        <w:t>技术服务</w:t>
      </w:r>
      <w:r>
        <w:rPr>
          <w:rFonts w:hint="eastAsia" w:ascii="仿宋" w:hAnsi="仿宋" w:eastAsia="仿宋" w:cs="仿宋"/>
          <w:sz w:val="24"/>
          <w:szCs w:val="32"/>
          <w:lang w:eastAsia="zh-CN"/>
        </w:rPr>
        <w:t>、</w:t>
      </w:r>
      <w:r>
        <w:rPr>
          <w:rFonts w:hint="eastAsia" w:ascii="仿宋" w:hAnsi="仿宋" w:eastAsia="仿宋" w:cs="仿宋"/>
          <w:sz w:val="24"/>
          <w:szCs w:val="32"/>
          <w:lang w:val="en-US" w:eastAsia="zh-CN"/>
        </w:rPr>
        <w:t>企业环评、环保管家服务；</w:t>
      </w:r>
    </w:p>
    <w:p>
      <w:pPr>
        <w:spacing w:line="360" w:lineRule="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3、铸造企业商务服务(铸件采购与供应)；</w:t>
      </w:r>
    </w:p>
    <w:p>
      <w:pPr>
        <w:spacing w:line="360" w:lineRule="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4、铸造行业调研、统计与分析；</w:t>
      </w:r>
    </w:p>
    <w:p>
      <w:pPr>
        <w:spacing w:line="360" w:lineRule="auto"/>
        <w:rPr>
          <w:rFonts w:hint="eastAsia" w:ascii="仿宋" w:hAnsi="仿宋" w:eastAsia="仿宋" w:cs="仿宋"/>
          <w:sz w:val="24"/>
          <w:szCs w:val="32"/>
          <w:lang w:eastAsia="zh-CN"/>
        </w:rPr>
      </w:pPr>
      <w:r>
        <w:rPr>
          <w:rFonts w:hint="eastAsia" w:ascii="仿宋" w:hAnsi="仿宋" w:eastAsia="仿宋" w:cs="仿宋"/>
          <w:sz w:val="24"/>
          <w:szCs w:val="32"/>
          <w:lang w:val="en-US" w:eastAsia="zh-CN"/>
        </w:rPr>
        <w:t>5、团体</w:t>
      </w:r>
      <w:r>
        <w:rPr>
          <w:rFonts w:hint="eastAsia" w:ascii="仿宋" w:hAnsi="仿宋" w:eastAsia="仿宋" w:cs="仿宋"/>
          <w:sz w:val="24"/>
          <w:szCs w:val="32"/>
          <w:lang w:eastAsia="zh-CN"/>
        </w:rPr>
        <w:t>标准</w:t>
      </w:r>
      <w:r>
        <w:rPr>
          <w:rFonts w:hint="eastAsia" w:ascii="仿宋" w:hAnsi="仿宋" w:eastAsia="仿宋" w:cs="仿宋"/>
          <w:sz w:val="24"/>
          <w:szCs w:val="32"/>
          <w:lang w:val="en-US" w:eastAsia="zh-CN"/>
        </w:rPr>
        <w:t>项目立项，制定、审核</w:t>
      </w:r>
      <w:r>
        <w:rPr>
          <w:rFonts w:hint="eastAsia" w:ascii="仿宋" w:hAnsi="仿宋" w:eastAsia="仿宋" w:cs="仿宋"/>
          <w:sz w:val="24"/>
          <w:szCs w:val="32"/>
          <w:lang w:eastAsia="zh-CN"/>
        </w:rPr>
        <w:t>工作；</w:t>
      </w:r>
    </w:p>
    <w:p>
      <w:pPr>
        <w:spacing w:line="360" w:lineRule="auto"/>
        <w:rPr>
          <w:rFonts w:hint="eastAsia" w:ascii="仿宋" w:hAnsi="仿宋" w:eastAsia="仿宋" w:cs="仿宋"/>
          <w:sz w:val="24"/>
          <w:szCs w:val="32"/>
          <w:lang w:eastAsia="zh-CN"/>
        </w:rPr>
      </w:pPr>
      <w:r>
        <w:rPr>
          <w:rFonts w:hint="eastAsia" w:ascii="仿宋" w:hAnsi="仿宋" w:eastAsia="仿宋" w:cs="仿宋"/>
          <w:sz w:val="24"/>
          <w:szCs w:val="32"/>
          <w:lang w:val="en-US" w:eastAsia="zh-CN"/>
        </w:rPr>
        <w:t>6、</w:t>
      </w:r>
      <w:r>
        <w:rPr>
          <w:rFonts w:hint="eastAsia" w:ascii="仿宋" w:hAnsi="仿宋" w:eastAsia="仿宋" w:cs="仿宋"/>
          <w:sz w:val="24"/>
          <w:szCs w:val="32"/>
          <w:lang w:eastAsia="zh-CN"/>
        </w:rPr>
        <w:t>编制地方政府产业规划、企业、园区发展规划；</w:t>
      </w:r>
    </w:p>
    <w:p>
      <w:pPr>
        <w:spacing w:line="360" w:lineRule="auto"/>
        <w:rPr>
          <w:rFonts w:hint="eastAsia" w:ascii="仿宋" w:hAnsi="仿宋" w:eastAsia="仿宋" w:cs="仿宋"/>
          <w:sz w:val="24"/>
          <w:szCs w:val="32"/>
          <w:lang w:eastAsia="zh-CN"/>
        </w:rPr>
      </w:pPr>
      <w:r>
        <w:rPr>
          <w:rFonts w:hint="eastAsia" w:ascii="仿宋" w:hAnsi="仿宋" w:eastAsia="仿宋" w:cs="仿宋"/>
          <w:sz w:val="24"/>
          <w:szCs w:val="32"/>
          <w:lang w:val="en-US" w:eastAsia="zh-CN"/>
        </w:rPr>
        <w:t>7、</w:t>
      </w:r>
      <w:r>
        <w:rPr>
          <w:rFonts w:hint="eastAsia" w:ascii="仿宋" w:hAnsi="仿宋" w:eastAsia="仿宋" w:cs="仿宋"/>
          <w:sz w:val="24"/>
          <w:szCs w:val="32"/>
          <w:lang w:eastAsia="zh-CN"/>
        </w:rPr>
        <w:t>编制企业可研报告、项目申报、项目评审工作；</w:t>
      </w:r>
    </w:p>
    <w:p>
      <w:pPr>
        <w:spacing w:line="360" w:lineRule="auto"/>
        <w:rPr>
          <w:rFonts w:hint="eastAsia" w:ascii="仿宋" w:hAnsi="仿宋" w:eastAsia="仿宋" w:cs="仿宋"/>
          <w:b/>
          <w:bCs/>
          <w:color w:val="4472C4" w:themeColor="accent5"/>
          <w:sz w:val="30"/>
          <w:szCs w:val="30"/>
          <w:lang w:val="en-US" w:eastAsia="zh-CN"/>
          <w14:textFill>
            <w14:solidFill>
              <w14:schemeClr w14:val="accent5"/>
            </w14:solidFill>
          </w14:textFill>
        </w:rPr>
      </w:pPr>
      <w:r>
        <w:rPr>
          <w:rFonts w:hint="eastAsia" w:ascii="仿宋" w:hAnsi="仿宋" w:eastAsia="仿宋" w:cs="仿宋"/>
          <w:sz w:val="24"/>
          <w:szCs w:val="32"/>
          <w:lang w:val="en-US" w:eastAsia="zh-CN"/>
        </w:rPr>
        <w:t>8、</w:t>
      </w:r>
      <w:r>
        <w:rPr>
          <w:rFonts w:hint="eastAsia" w:ascii="仿宋" w:hAnsi="仿宋" w:eastAsia="仿宋" w:cs="仿宋"/>
          <w:sz w:val="24"/>
          <w:szCs w:val="32"/>
          <w:lang w:eastAsia="zh-CN"/>
        </w:rPr>
        <w:t>铸造</w:t>
      </w:r>
      <w:r>
        <w:rPr>
          <w:rFonts w:hint="eastAsia" w:ascii="仿宋" w:hAnsi="仿宋" w:eastAsia="仿宋" w:cs="仿宋"/>
          <w:sz w:val="24"/>
          <w:szCs w:val="32"/>
        </w:rPr>
        <w:t>产能转移的对接服务 技术职称评定，工程师资格认定；</w:t>
      </w:r>
      <w:r>
        <w:rPr>
          <w:rFonts w:hint="eastAsia" w:ascii="仿宋" w:hAnsi="仿宋" w:eastAsia="仿宋" w:cs="仿宋"/>
          <w:sz w:val="24"/>
          <w:szCs w:val="32"/>
          <w:lang w:val="en-US" w:eastAsia="zh-CN"/>
        </w:rPr>
        <w:t>请在线咨询。</w:t>
      </w:r>
    </w:p>
    <w:p>
      <w:pPr>
        <w:rPr>
          <w:rFonts w:hint="eastAsia" w:ascii="仿宋" w:hAnsi="仿宋" w:eastAsia="仿宋" w:cs="仿宋"/>
          <w:b/>
          <w:bCs/>
          <w:color w:val="4472C4" w:themeColor="accent5"/>
          <w:sz w:val="30"/>
          <w:szCs w:val="30"/>
          <w:lang w:val="en-US" w:eastAsia="zh-CN"/>
          <w14:textFill>
            <w14:solidFill>
              <w14:schemeClr w14:val="accent5"/>
            </w14:solidFill>
          </w14:textFill>
        </w:rPr>
      </w:pPr>
    </w:p>
    <w:p>
      <w:pPr>
        <w:rPr>
          <w:rFonts w:hint="eastAsia" w:ascii="仿宋" w:hAnsi="仿宋" w:eastAsia="仿宋" w:cs="仿宋"/>
          <w:b/>
          <w:bCs/>
          <w:color w:val="auto"/>
          <w:kern w:val="0"/>
          <w:sz w:val="28"/>
          <w:szCs w:val="28"/>
          <w:lang w:val="en-US" w:eastAsia="zh-CN" w:bidi="ar"/>
        </w:rPr>
      </w:pPr>
      <w:r>
        <w:rPr>
          <w:rFonts w:hint="eastAsia" w:ascii="仿宋" w:hAnsi="仿宋" w:eastAsia="仿宋" w:cs="仿宋"/>
          <w:b/>
          <w:bCs/>
          <w:color w:val="4472C4" w:themeColor="accent5"/>
          <w:sz w:val="30"/>
          <w:szCs w:val="30"/>
          <w:lang w:val="en-US" w:eastAsia="zh-CN"/>
          <w14:textFill>
            <w14:solidFill>
              <w14:schemeClr w14:val="accent5"/>
            </w14:solidFill>
          </w14:textFill>
        </w:rPr>
        <w:t>8.</w:t>
      </w:r>
      <w:r>
        <w:rPr>
          <w:rFonts w:hint="eastAsia" w:ascii="仿宋" w:hAnsi="仿宋" w:eastAsia="仿宋" w:cs="仿宋"/>
          <w:b/>
          <w:bCs/>
          <w:color w:val="4472C4" w:themeColor="accent5"/>
          <w:sz w:val="30"/>
          <w:szCs w:val="30"/>
          <w14:textFill>
            <w14:solidFill>
              <w14:schemeClr w14:val="accent5"/>
            </w14:solidFill>
          </w14:textFill>
        </w:rPr>
        <w:t>商务信息</w:t>
      </w:r>
    </w:p>
    <w:p>
      <w:pPr>
        <w:pStyle w:val="31"/>
        <w:rPr>
          <w:rFonts w:hint="eastAsia" w:ascii="仿宋" w:hAnsi="仿宋" w:eastAsia="仿宋" w:cs="仿宋"/>
          <w:b/>
          <w:bCs/>
          <w:color w:val="auto"/>
          <w:kern w:val="0"/>
          <w:sz w:val="28"/>
          <w:szCs w:val="28"/>
          <w:lang w:val="en-US" w:eastAsia="zh-CN" w:bidi="ar"/>
        </w:rPr>
      </w:pPr>
      <w:r>
        <w:rPr>
          <w:rFonts w:hint="eastAsia" w:ascii="仿宋" w:hAnsi="仿宋" w:eastAsia="仿宋" w:cs="仿宋"/>
          <w:b/>
          <w:bCs/>
          <w:color w:val="auto"/>
          <w:kern w:val="0"/>
          <w:sz w:val="28"/>
          <w:szCs w:val="28"/>
          <w:lang w:val="en-US" w:eastAsia="zh-CN" w:bidi="ar"/>
        </w:rPr>
        <w:t xml:space="preserve">8.1 </w:t>
      </w:r>
      <w:r>
        <w:rPr>
          <w:rFonts w:hint="eastAsia" w:ascii="仿宋" w:hAnsi="仿宋" w:eastAsia="仿宋" w:cs="仿宋"/>
          <w:b/>
          <w:bCs/>
          <w:color w:val="C00000"/>
          <w:kern w:val="0"/>
          <w:sz w:val="28"/>
          <w:szCs w:val="28"/>
          <w:lang w:val="en-US" w:eastAsia="zh-CN" w:bidi="ar"/>
        </w:rPr>
        <w:t xml:space="preserve"> </w:t>
      </w:r>
      <w:r>
        <w:rPr>
          <w:rFonts w:hint="eastAsia" w:ascii="仿宋" w:hAnsi="仿宋" w:eastAsia="仿宋" w:cs="仿宋"/>
          <w:b/>
          <w:bCs/>
          <w:color w:val="auto"/>
          <w:kern w:val="0"/>
          <w:sz w:val="28"/>
          <w:szCs w:val="28"/>
          <w:lang w:val="en-US" w:eastAsia="zh-CN" w:bidi="ar"/>
        </w:rPr>
        <w:t>山西省铸造行业协会抖音上线了，请扫描二维码</w:t>
      </w:r>
    </w:p>
    <w:p>
      <w:pPr>
        <w:rPr>
          <w:rFonts w:hint="default"/>
          <w:lang w:val="en-US" w:eastAsia="zh-CN"/>
        </w:rPr>
      </w:pPr>
    </w:p>
    <w:p>
      <w:pPr>
        <w:pStyle w:val="31"/>
        <w:jc w:val="center"/>
        <w:rPr>
          <w:rFonts w:hint="eastAsia" w:ascii="仿宋" w:hAnsi="仿宋" w:eastAsia="仿宋" w:cs="仿宋"/>
          <w:b/>
          <w:bCs/>
          <w:color w:val="auto"/>
          <w:kern w:val="0"/>
          <w:sz w:val="28"/>
          <w:szCs w:val="28"/>
          <w:lang w:val="en-US" w:eastAsia="zh-CN" w:bidi="ar"/>
        </w:rPr>
      </w:pPr>
      <w:r>
        <w:rPr>
          <w:rFonts w:hint="default"/>
          <w:b/>
          <w:bCs/>
          <w:sz w:val="28"/>
          <w:szCs w:val="28"/>
          <w:lang w:val="en-US" w:eastAsia="zh-CN"/>
        </w:rPr>
        <w:drawing>
          <wp:inline distT="0" distB="0" distL="114300" distR="114300">
            <wp:extent cx="2303780" cy="2820670"/>
            <wp:effectExtent l="0" t="0" r="7620" b="11430"/>
            <wp:docPr id="109" name="图片 109" descr="微信图片_20230530190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微信图片_20230530190316"/>
                    <pic:cNvPicPr>
                      <a:picLocks noChangeAspect="1"/>
                    </pic:cNvPicPr>
                  </pic:nvPicPr>
                  <pic:blipFill>
                    <a:blip r:embed="rId56"/>
                    <a:srcRect b="18184"/>
                    <a:stretch>
                      <a:fillRect/>
                    </a:stretch>
                  </pic:blipFill>
                  <pic:spPr>
                    <a:xfrm>
                      <a:off x="0" y="0"/>
                      <a:ext cx="2303780" cy="2820670"/>
                    </a:xfrm>
                    <a:prstGeom prst="rect">
                      <a:avLst/>
                    </a:prstGeom>
                  </pic:spPr>
                </pic:pic>
              </a:graphicData>
            </a:graphic>
          </wp:inline>
        </w:drawing>
      </w:r>
      <w:r>
        <w:rPr>
          <w:rFonts w:hint="eastAsia"/>
          <w:b/>
          <w:bCs/>
          <w:sz w:val="28"/>
          <w:szCs w:val="28"/>
          <w:lang w:val="en-US" w:eastAsia="zh-CN"/>
        </w:rPr>
        <w:t xml:space="preserve"> </w:t>
      </w:r>
      <w:r>
        <w:rPr>
          <w:rFonts w:hint="default"/>
          <w:b/>
          <w:bCs/>
          <w:sz w:val="28"/>
          <w:szCs w:val="28"/>
          <w:lang w:val="en-US" w:eastAsia="zh-CN"/>
        </w:rPr>
        <w:drawing>
          <wp:inline distT="0" distB="0" distL="114300" distR="114300">
            <wp:extent cx="2303145" cy="2820035"/>
            <wp:effectExtent l="0" t="0" r="8255" b="12065"/>
            <wp:docPr id="71" name="图片 71" descr="微信图片_20230530190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微信图片_20230530190316"/>
                    <pic:cNvPicPr>
                      <a:picLocks noChangeAspect="1"/>
                    </pic:cNvPicPr>
                  </pic:nvPicPr>
                  <pic:blipFill>
                    <a:blip r:embed="rId56"/>
                    <a:srcRect b="18184"/>
                    <a:stretch>
                      <a:fillRect/>
                    </a:stretch>
                  </pic:blipFill>
                  <pic:spPr>
                    <a:xfrm>
                      <a:off x="0" y="0"/>
                      <a:ext cx="2303145" cy="2820035"/>
                    </a:xfrm>
                    <a:prstGeom prst="rect">
                      <a:avLst/>
                    </a:prstGeom>
                  </pic:spPr>
                </pic:pic>
              </a:graphicData>
            </a:graphic>
          </wp:inline>
        </w:drawing>
      </w:r>
      <w:r>
        <w:rPr>
          <w:rFonts w:hint="eastAsia" w:ascii="仿宋" w:hAnsi="仿宋" w:eastAsia="仿宋" w:cs="仿宋"/>
          <w:b/>
          <w:bCs/>
          <w:sz w:val="28"/>
          <w:szCs w:val="28"/>
          <w:lang w:val="en-US" w:eastAsia="zh-CN"/>
        </w:rPr>
        <w:t xml:space="preserve"> </w:t>
      </w:r>
    </w:p>
    <w:p>
      <w:pPr>
        <w:spacing w:line="360" w:lineRule="auto"/>
        <w:jc w:val="left"/>
        <w:rPr>
          <w:rFonts w:hint="eastAsia" w:ascii="仿宋" w:hAnsi="仿宋" w:eastAsia="仿宋" w:cs="仿宋"/>
          <w:b/>
          <w:bCs/>
          <w:color w:val="auto"/>
          <w:kern w:val="0"/>
          <w:sz w:val="28"/>
          <w:szCs w:val="28"/>
          <w:lang w:val="en-US" w:eastAsia="zh-CN" w:bidi="ar"/>
        </w:rPr>
      </w:pPr>
      <w:r>
        <w:rPr>
          <w:rFonts w:hint="eastAsia" w:ascii="仿宋" w:hAnsi="仿宋" w:eastAsia="仿宋" w:cs="仿宋"/>
          <w:b/>
          <w:bCs/>
          <w:color w:val="auto"/>
          <w:kern w:val="0"/>
          <w:sz w:val="28"/>
          <w:szCs w:val="28"/>
          <w:lang w:val="en-US" w:eastAsia="zh-CN" w:bidi="ar"/>
        </w:rPr>
        <w:t>8.2</w:t>
      </w:r>
      <w:r>
        <w:rPr>
          <w:rFonts w:hint="eastAsia" w:ascii="仿宋" w:hAnsi="仿宋" w:eastAsia="仿宋" w:cs="仿宋"/>
          <w:b/>
          <w:bCs/>
          <w:color w:val="C00000"/>
          <w:kern w:val="0"/>
          <w:sz w:val="28"/>
          <w:szCs w:val="28"/>
          <w:lang w:val="en-US" w:eastAsia="zh-CN" w:bidi="ar"/>
        </w:rPr>
        <w:t xml:space="preserve"> </w:t>
      </w:r>
      <w:r>
        <w:rPr>
          <w:rFonts w:hint="eastAsia" w:ascii="仿宋" w:hAnsi="仿宋" w:eastAsia="仿宋" w:cs="仿宋"/>
          <w:b/>
          <w:bCs/>
          <w:color w:val="auto"/>
          <w:kern w:val="0"/>
          <w:sz w:val="28"/>
          <w:szCs w:val="28"/>
          <w:lang w:val="en-US" w:eastAsia="zh-CN" w:bidi="ar"/>
        </w:rPr>
        <w:t>山西省铸造行业协会商务平台</w:t>
      </w:r>
    </w:p>
    <w:p>
      <w:pPr>
        <w:spacing w:line="360" w:lineRule="auto"/>
        <w:ind w:firstLine="480" w:firstLineChars="200"/>
        <w:jc w:val="left"/>
        <w:rPr>
          <w:rFonts w:hint="eastAsia" w:ascii="仿宋" w:hAnsi="仿宋" w:eastAsia="仿宋" w:cs="仿宋"/>
          <w:b/>
          <w:bCs/>
          <w:color w:val="auto"/>
          <w:kern w:val="0"/>
          <w:sz w:val="24"/>
          <w:szCs w:val="24"/>
          <w:lang w:val="en-US" w:eastAsia="zh-CN" w:bidi="ar"/>
        </w:rPr>
      </w:pPr>
      <w:r>
        <w:rPr>
          <w:rFonts w:hint="eastAsia" w:ascii="仿宋" w:hAnsi="仿宋" w:eastAsia="仿宋" w:cs="仿宋"/>
          <w:b w:val="0"/>
          <w:bCs w:val="0"/>
          <w:color w:val="auto"/>
          <w:kern w:val="0"/>
          <w:sz w:val="24"/>
          <w:szCs w:val="24"/>
          <w:lang w:val="en-US" w:eastAsia="zh-CN" w:bidi="ar"/>
        </w:rPr>
        <w:t>为展示山西省铸造行业整体风貌，增强同行之间的交流与合作，促进山西铸造行业尽快做强做大，释放山西铸造行业产能而筹备并建立的铸件采购平台。通过行业信息平台，收集相关商务信息，为企业联系订单，联系采购商，搭建商务信息共享平台，做好贸易形成的全过程跟踪服务。形式为线下和线上两种。</w:t>
      </w:r>
    </w:p>
    <w:p>
      <w:pPr>
        <w:spacing w:line="360" w:lineRule="auto"/>
        <w:jc w:val="left"/>
        <w:rPr>
          <w:rFonts w:hint="eastAsia" w:ascii="仿宋" w:hAnsi="仿宋" w:eastAsia="仿宋" w:cs="仿宋"/>
          <w:b w:val="0"/>
          <w:bCs w:val="0"/>
          <w:color w:val="auto"/>
          <w:kern w:val="0"/>
          <w:sz w:val="24"/>
          <w:szCs w:val="24"/>
          <w:lang w:val="en-US" w:eastAsia="zh-CN" w:bidi="ar"/>
        </w:rPr>
      </w:pPr>
      <w:r>
        <w:rPr>
          <w:rFonts w:hint="eastAsia" w:ascii="仿宋" w:hAnsi="仿宋" w:eastAsia="仿宋" w:cs="仿宋"/>
          <w:b/>
          <w:bCs/>
          <w:color w:val="auto"/>
          <w:kern w:val="0"/>
          <w:sz w:val="24"/>
          <w:szCs w:val="24"/>
          <w:lang w:val="en-US" w:eastAsia="zh-CN" w:bidi="ar"/>
        </w:rPr>
        <w:t>平台的宗旨：展示行业风貌 关注行业动态 增强信息交流 促进行业发展</w:t>
      </w:r>
    </w:p>
    <w:p>
      <w:pPr>
        <w:spacing w:line="360" w:lineRule="auto"/>
        <w:jc w:val="left"/>
        <w:rPr>
          <w:rFonts w:hint="eastAsia" w:ascii="仿宋" w:hAnsi="仿宋" w:eastAsia="仿宋" w:cs="仿宋"/>
          <w:b/>
          <w:bCs/>
          <w:color w:val="auto"/>
          <w:kern w:val="0"/>
          <w:sz w:val="28"/>
          <w:szCs w:val="28"/>
          <w:lang w:val="en-US" w:eastAsia="zh-CN" w:bidi="ar"/>
        </w:rPr>
      </w:pPr>
      <w:r>
        <w:rPr>
          <w:rFonts w:hint="eastAsia" w:ascii="仿宋" w:hAnsi="仿宋" w:eastAsia="仿宋" w:cs="仿宋"/>
          <w:b w:val="0"/>
          <w:bCs w:val="0"/>
          <w:color w:val="auto"/>
          <w:kern w:val="0"/>
          <w:sz w:val="24"/>
          <w:szCs w:val="24"/>
          <w:lang w:val="en-US" w:eastAsia="zh-CN" w:bidi="ar"/>
        </w:rPr>
        <w:t>联系人：崔明珠 13934176886  郝鹏飞 18649311901  王广业 13703594116</w:t>
      </w:r>
    </w:p>
    <w:p>
      <w:pPr>
        <w:spacing w:line="360" w:lineRule="auto"/>
        <w:rPr>
          <w:rFonts w:hint="eastAsia" w:ascii="仿宋" w:hAnsi="仿宋" w:eastAsia="仿宋" w:cs="仿宋"/>
          <w:b/>
          <w:bCs/>
          <w:color w:val="auto"/>
          <w:kern w:val="0"/>
          <w:sz w:val="28"/>
          <w:szCs w:val="28"/>
          <w:lang w:val="en-US" w:eastAsia="zh-CN" w:bidi="ar"/>
        </w:rPr>
      </w:pPr>
      <w:r>
        <w:rPr>
          <w:rFonts w:hint="eastAsia" w:ascii="仿宋" w:hAnsi="仿宋" w:eastAsia="仿宋" w:cs="仿宋"/>
          <w:b/>
          <w:bCs/>
          <w:color w:val="auto"/>
          <w:kern w:val="0"/>
          <w:sz w:val="28"/>
          <w:szCs w:val="28"/>
          <w:lang w:val="en-US" w:eastAsia="zh-CN" w:bidi="ar"/>
        </w:rPr>
        <w:t>8.3 山西鑫光华铸造废砂再生工业有限公司</w:t>
      </w:r>
    </w:p>
    <w:p>
      <w:pPr>
        <w:widowControl w:val="0"/>
        <w:autoSpaceDE w:val="0"/>
        <w:autoSpaceDN w:val="0"/>
        <w:adjustRightInd w:val="0"/>
        <w:spacing w:line="360" w:lineRule="auto"/>
        <w:ind w:firstLine="480" w:firstLineChars="200"/>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lang w:val="en-US" w:eastAsia="zh-CN" w:bidi="ar-SA"/>
        </w:rPr>
        <w:t>山西鑫光华铸造废砂再生工业有限公司，是山西省铸协铸造砂循环利用生产基地（文水）。年处理铸造废砂5万吨，生产覆膜砂4万吨。开发了六大品种，分别适用于小型灰铁、大型灰铁、小型球铁、大型球铁、碳钢及合金钢铸件。企业管理资质齐全，生产设备自动化控制，实验检测设备先进，产品质量稳定可靠。针对客户产品的差异化需求，提供完善的售前售后技术服务。</w:t>
      </w:r>
    </w:p>
    <w:p>
      <w:pPr>
        <w:rPr>
          <w:rFonts w:hint="eastAsia" w:ascii="仿宋" w:hAnsi="仿宋" w:eastAsia="仿宋" w:cs="仿宋"/>
          <w:lang w:val="en-US" w:eastAsia="zh-CN"/>
        </w:rPr>
      </w:pPr>
    </w:p>
    <w:p>
      <w:pPr>
        <w:widowControl w:val="0"/>
        <w:autoSpaceDE w:val="0"/>
        <w:autoSpaceDN w:val="0"/>
        <w:adjustRightInd w:val="0"/>
        <w:jc w:val="center"/>
        <w:rPr>
          <w:rFonts w:hint="eastAsia"/>
          <w:lang w:val="en-US" w:eastAsia="zh-CN"/>
        </w:rPr>
      </w:pPr>
      <w:r>
        <w:rPr>
          <w:rFonts w:hint="eastAsia" w:ascii="Times New Roman" w:hAnsi="Times New Roman" w:eastAsia="宋体" w:cs="方正黑体简体"/>
          <w:color w:val="000000"/>
          <w:sz w:val="24"/>
          <w:szCs w:val="24"/>
          <w:lang w:val="en-US" w:eastAsia="zh-CN" w:bidi="ar-SA"/>
        </w:rPr>
        <w:drawing>
          <wp:inline distT="0" distB="0" distL="114300" distR="114300">
            <wp:extent cx="4140835" cy="4076065"/>
            <wp:effectExtent l="0" t="0" r="12065" b="635"/>
            <wp:docPr id="28" name="图片 28" descr="微信图片_20221129170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微信图片_20221129170757"/>
                    <pic:cNvPicPr>
                      <a:picLocks noChangeAspect="1"/>
                    </pic:cNvPicPr>
                  </pic:nvPicPr>
                  <pic:blipFill>
                    <a:blip r:embed="rId57"/>
                    <a:stretch>
                      <a:fillRect/>
                    </a:stretch>
                  </pic:blipFill>
                  <pic:spPr>
                    <a:xfrm>
                      <a:off x="0" y="0"/>
                      <a:ext cx="4140835" cy="4076065"/>
                    </a:xfrm>
                    <a:prstGeom prst="rect">
                      <a:avLst/>
                    </a:prstGeom>
                  </pic:spPr>
                </pic:pic>
              </a:graphicData>
            </a:graphic>
          </wp:inline>
        </w:drawing>
      </w:r>
    </w:p>
    <w:p>
      <w:pPr>
        <w:jc w:val="both"/>
        <w:rPr>
          <w:rFonts w:hint="eastAsia" w:ascii="仿宋" w:hAnsi="仿宋" w:eastAsia="仿宋" w:cs="仿宋"/>
          <w:b/>
          <w:bCs/>
          <w:color w:val="C00000"/>
          <w:sz w:val="28"/>
          <w:szCs w:val="36"/>
          <w:lang w:val="en-US" w:eastAsia="zh-CN"/>
        </w:rPr>
      </w:pPr>
    </w:p>
    <w:p>
      <w:pPr>
        <w:jc w:val="center"/>
        <w:rPr>
          <w:rFonts w:hint="eastAsia" w:ascii="仿宋" w:hAnsi="仿宋" w:eastAsia="仿宋" w:cs="仿宋"/>
          <w:b/>
          <w:bCs/>
          <w:color w:val="C00000"/>
          <w:sz w:val="28"/>
          <w:szCs w:val="36"/>
          <w:lang w:val="en-US" w:eastAsia="zh-CN"/>
        </w:rPr>
      </w:pPr>
      <w:r>
        <w:rPr>
          <w:rFonts w:hint="eastAsia" w:ascii="仿宋" w:hAnsi="仿宋" w:eastAsia="仿宋" w:cs="仿宋"/>
          <w:b/>
          <w:bCs/>
          <w:color w:val="C00000"/>
          <w:sz w:val="28"/>
          <w:szCs w:val="36"/>
          <w:lang w:val="en-US" w:eastAsia="zh-CN"/>
        </w:rPr>
        <w:t>山西鑫光华铸造废砂再生工业有限公司</w:t>
      </w:r>
    </w:p>
    <w:p>
      <w:pPr>
        <w:jc w:val="center"/>
        <w:rPr>
          <w:rFonts w:hint="eastAsia" w:ascii="仿宋" w:hAnsi="仿宋" w:eastAsia="仿宋" w:cs="仿宋"/>
          <w:b/>
          <w:bCs/>
          <w:color w:val="C00000"/>
          <w:sz w:val="28"/>
          <w:szCs w:val="36"/>
          <w:lang w:val="en-US" w:eastAsia="zh-CN"/>
        </w:rPr>
      </w:pPr>
      <w:r>
        <w:rPr>
          <w:rFonts w:hint="eastAsia" w:ascii="仿宋" w:hAnsi="仿宋" w:eastAsia="仿宋" w:cs="仿宋"/>
          <w:b/>
          <w:bCs/>
          <w:color w:val="C00000"/>
          <w:sz w:val="28"/>
          <w:szCs w:val="36"/>
          <w:lang w:val="en-US" w:eastAsia="zh-CN"/>
        </w:rPr>
        <w:t>覆膜砂技术参数及牌号</w:t>
      </w:r>
    </w:p>
    <w:tbl>
      <w:tblPr>
        <w:tblStyle w:val="19"/>
        <w:tblW w:w="0" w:type="auto"/>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2240"/>
        <w:gridCol w:w="1239"/>
        <w:gridCol w:w="661"/>
        <w:gridCol w:w="2320"/>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spacing w:line="360" w:lineRule="auto"/>
              <w:jc w:val="center"/>
              <w:rPr>
                <w:rFonts w:hint="default" w:ascii="仿宋" w:hAnsi="仿宋" w:eastAsia="仿宋" w:cs="仿宋"/>
                <w:b/>
                <w:bCs/>
                <w:color w:val="auto"/>
                <w:sz w:val="22"/>
                <w:szCs w:val="28"/>
                <w:vertAlign w:val="baseline"/>
                <w:lang w:val="en-US" w:eastAsia="zh-CN"/>
              </w:rPr>
            </w:pPr>
            <w:r>
              <w:rPr>
                <w:rFonts w:hint="eastAsia" w:ascii="仿宋" w:hAnsi="仿宋" w:eastAsia="仿宋" w:cs="仿宋"/>
                <w:b/>
                <w:bCs/>
                <w:color w:val="auto"/>
                <w:sz w:val="22"/>
                <w:szCs w:val="28"/>
                <w:vertAlign w:val="baseline"/>
                <w:lang w:val="en-US" w:eastAsia="zh-CN"/>
              </w:rPr>
              <w:t>牌号</w:t>
            </w:r>
          </w:p>
        </w:tc>
        <w:tc>
          <w:tcPr>
            <w:tcW w:w="2240" w:type="dxa"/>
          </w:tcPr>
          <w:p>
            <w:pPr>
              <w:spacing w:line="360" w:lineRule="auto"/>
              <w:jc w:val="center"/>
              <w:rPr>
                <w:rFonts w:hint="default" w:ascii="仿宋" w:hAnsi="仿宋" w:eastAsia="仿宋" w:cs="仿宋"/>
                <w:b/>
                <w:bCs/>
                <w:color w:val="auto"/>
                <w:sz w:val="22"/>
                <w:szCs w:val="28"/>
                <w:vertAlign w:val="baseline"/>
                <w:lang w:val="en-US" w:eastAsia="zh-CN"/>
              </w:rPr>
            </w:pPr>
            <w:r>
              <w:rPr>
                <w:rFonts w:hint="eastAsia" w:ascii="仿宋" w:hAnsi="仿宋" w:eastAsia="仿宋" w:cs="仿宋"/>
                <w:b/>
                <w:bCs/>
                <w:color w:val="auto"/>
                <w:sz w:val="22"/>
                <w:szCs w:val="28"/>
                <w:vertAlign w:val="baseline"/>
                <w:lang w:val="en-US" w:eastAsia="zh-CN"/>
              </w:rPr>
              <w:t>性能</w:t>
            </w:r>
          </w:p>
        </w:tc>
        <w:tc>
          <w:tcPr>
            <w:tcW w:w="1239" w:type="dxa"/>
          </w:tcPr>
          <w:p>
            <w:pPr>
              <w:spacing w:line="360" w:lineRule="auto"/>
              <w:jc w:val="center"/>
              <w:rPr>
                <w:rFonts w:hint="default" w:ascii="仿宋" w:hAnsi="仿宋" w:eastAsia="仿宋" w:cs="仿宋"/>
                <w:b/>
                <w:bCs/>
                <w:color w:val="auto"/>
                <w:sz w:val="22"/>
                <w:szCs w:val="28"/>
                <w:vertAlign w:val="baseline"/>
                <w:lang w:val="en-US" w:eastAsia="zh-CN"/>
              </w:rPr>
            </w:pPr>
            <w:r>
              <w:rPr>
                <w:rFonts w:hint="eastAsia" w:ascii="仿宋" w:hAnsi="仿宋" w:eastAsia="仿宋" w:cs="仿宋"/>
                <w:b/>
                <w:bCs/>
                <w:color w:val="auto"/>
                <w:sz w:val="22"/>
                <w:szCs w:val="28"/>
                <w:vertAlign w:val="baseline"/>
                <w:lang w:val="en-US" w:eastAsia="zh-CN"/>
              </w:rPr>
              <w:t>数据</w:t>
            </w:r>
          </w:p>
        </w:tc>
        <w:tc>
          <w:tcPr>
            <w:tcW w:w="661" w:type="dxa"/>
            <w:vAlign w:val="top"/>
          </w:tcPr>
          <w:p>
            <w:pPr>
              <w:spacing w:line="360" w:lineRule="auto"/>
              <w:jc w:val="center"/>
              <w:rPr>
                <w:rFonts w:hint="default" w:ascii="仿宋" w:hAnsi="仿宋" w:eastAsia="仿宋" w:cs="仿宋"/>
                <w:b/>
                <w:bCs/>
                <w:color w:val="auto"/>
                <w:kern w:val="2"/>
                <w:sz w:val="22"/>
                <w:szCs w:val="28"/>
                <w:vertAlign w:val="baseline"/>
                <w:lang w:val="en-US" w:eastAsia="zh-CN" w:bidi="ar-SA"/>
              </w:rPr>
            </w:pPr>
            <w:r>
              <w:rPr>
                <w:rFonts w:hint="eastAsia" w:ascii="仿宋" w:hAnsi="仿宋" w:eastAsia="仿宋" w:cs="仿宋"/>
                <w:b/>
                <w:bCs/>
                <w:color w:val="auto"/>
                <w:sz w:val="22"/>
                <w:szCs w:val="28"/>
                <w:vertAlign w:val="baseline"/>
                <w:lang w:val="en-US" w:eastAsia="zh-CN"/>
              </w:rPr>
              <w:t>牌号</w:t>
            </w:r>
          </w:p>
        </w:tc>
        <w:tc>
          <w:tcPr>
            <w:tcW w:w="2320" w:type="dxa"/>
            <w:vAlign w:val="top"/>
          </w:tcPr>
          <w:p>
            <w:pPr>
              <w:spacing w:line="360" w:lineRule="auto"/>
              <w:jc w:val="center"/>
              <w:rPr>
                <w:rFonts w:hint="default" w:ascii="仿宋" w:hAnsi="仿宋" w:eastAsia="仿宋" w:cs="仿宋"/>
                <w:b/>
                <w:bCs/>
                <w:color w:val="auto"/>
                <w:kern w:val="2"/>
                <w:sz w:val="22"/>
                <w:szCs w:val="28"/>
                <w:vertAlign w:val="baseline"/>
                <w:lang w:val="en-US" w:eastAsia="zh-CN" w:bidi="ar-SA"/>
              </w:rPr>
            </w:pPr>
            <w:r>
              <w:rPr>
                <w:rFonts w:hint="eastAsia" w:ascii="仿宋" w:hAnsi="仿宋" w:eastAsia="仿宋" w:cs="仿宋"/>
                <w:b/>
                <w:bCs/>
                <w:color w:val="auto"/>
                <w:sz w:val="22"/>
                <w:szCs w:val="28"/>
                <w:vertAlign w:val="baseline"/>
                <w:lang w:val="en-US" w:eastAsia="zh-CN"/>
              </w:rPr>
              <w:t>性能</w:t>
            </w:r>
          </w:p>
        </w:tc>
        <w:tc>
          <w:tcPr>
            <w:tcW w:w="1190" w:type="dxa"/>
            <w:vAlign w:val="top"/>
          </w:tcPr>
          <w:p>
            <w:pPr>
              <w:spacing w:line="360" w:lineRule="auto"/>
              <w:jc w:val="center"/>
              <w:rPr>
                <w:rFonts w:hint="default" w:ascii="仿宋" w:hAnsi="仿宋" w:eastAsia="仿宋" w:cs="仿宋"/>
                <w:b/>
                <w:bCs/>
                <w:color w:val="auto"/>
                <w:kern w:val="2"/>
                <w:sz w:val="22"/>
                <w:szCs w:val="28"/>
                <w:vertAlign w:val="baseline"/>
                <w:lang w:val="en-US" w:eastAsia="zh-CN" w:bidi="ar-SA"/>
              </w:rPr>
            </w:pPr>
            <w:r>
              <w:rPr>
                <w:rFonts w:hint="eastAsia" w:ascii="仿宋" w:hAnsi="仿宋" w:eastAsia="仿宋" w:cs="仿宋"/>
                <w:b/>
                <w:bCs/>
                <w:color w:val="auto"/>
                <w:sz w:val="22"/>
                <w:szCs w:val="28"/>
                <w:vertAlign w:val="baseline"/>
                <w:lang w:val="en-US"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1#</w:t>
            </w: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常温抗拉强度（Mpa）</w:t>
            </w: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2.0～2.5</w:t>
            </w:r>
          </w:p>
        </w:tc>
        <w:tc>
          <w:tcPr>
            <w:tcW w:w="66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2#</w:t>
            </w: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常温抗拉强度（Mpa）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常温抗弯强度（Mpa）</w:t>
            </w: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3.0～3.5</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常温抗弯强度（Mpa）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5.0～6.0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粒度(目）</w:t>
            </w: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70/140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高温抗弯强度（Mpa）</w:t>
            </w:r>
          </w:p>
        </w:tc>
        <w:tc>
          <w:tcPr>
            <w:tcW w:w="119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3.5～4.5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灼烧减量（100%）</w:t>
            </w: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2.16</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粒度(目）</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70/140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发气量(ml/g)</w:t>
            </w: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12.8</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灼烧减量（100%）</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熔点（℃）</w:t>
            </w: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100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发气量(ml/g)</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熔点（℃）</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适用范围</w:t>
            </w:r>
          </w:p>
        </w:tc>
        <w:tc>
          <w:tcPr>
            <w:tcW w:w="12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灰铸铁</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color w:val="auto"/>
                <w:sz w:val="21"/>
                <w:szCs w:val="21"/>
                <w:vertAlign w:val="baseline"/>
                <w:lang w:val="en-US" w:eastAsia="zh-CN"/>
              </w:rPr>
            </w:pPr>
          </w:p>
        </w:tc>
        <w:tc>
          <w:tcPr>
            <w:tcW w:w="23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适用范围</w:t>
            </w:r>
          </w:p>
        </w:tc>
        <w:tc>
          <w:tcPr>
            <w:tcW w:w="11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大件灰铁</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小件球铁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3#</w:t>
            </w: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常温抗拉强度（Mpa）</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3.5～4.5</w:t>
            </w:r>
          </w:p>
        </w:tc>
        <w:tc>
          <w:tcPr>
            <w:tcW w:w="66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4#</w:t>
            </w: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常温抗拉强度（Mpa）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3.5～4.5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常温抗弯强度（Mpa）</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7.5～9.0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常温抗弯强度（Mpa）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7.0～8.0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热态抗弯强度（Mpa）</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4.0～5.0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热态拉弯强度（Mpa）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粒度(目）</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70/140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热态抗弯强度（Mpa）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4.0～5.0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灼烧减量（100%）</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2.76</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粒度(目）</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70/140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发气量(ml/g)</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14</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灼烧减量（100%）</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熔点（℃）</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108</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发气量(ml/g)</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c>
          <w:tcPr>
            <w:tcW w:w="123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熔点（℃）</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1"/>
                <w:szCs w:val="21"/>
                <w:vertAlign w:val="baseline"/>
                <w:lang w:val="en-US" w:eastAsia="zh-CN"/>
              </w:rPr>
            </w:pPr>
          </w:p>
        </w:tc>
        <w:tc>
          <w:tcPr>
            <w:tcW w:w="1239"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1"/>
                <w:szCs w:val="21"/>
                <w:vertAlign w:val="baseline"/>
                <w:lang w:val="en-US" w:eastAsia="zh-CN"/>
              </w:rPr>
            </w:pP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流动性（度）</w:t>
            </w:r>
          </w:p>
        </w:tc>
        <w:tc>
          <w:tcPr>
            <w:tcW w:w="119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25～29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适用范围</w:t>
            </w:r>
          </w:p>
        </w:tc>
        <w:tc>
          <w:tcPr>
            <w:tcW w:w="12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球铁</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铸钢件</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color w:val="auto"/>
                <w:sz w:val="21"/>
                <w:szCs w:val="21"/>
                <w:vertAlign w:val="baseline"/>
                <w:lang w:val="en-US" w:eastAsia="zh-CN"/>
              </w:rPr>
            </w:pPr>
          </w:p>
        </w:tc>
        <w:tc>
          <w:tcPr>
            <w:tcW w:w="23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适用范围</w:t>
            </w:r>
          </w:p>
        </w:tc>
        <w:tc>
          <w:tcPr>
            <w:tcW w:w="11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合金铸钢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5#</w:t>
            </w: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常温抗拉强度（Mpa）</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3.0～3.7</w:t>
            </w:r>
          </w:p>
        </w:tc>
        <w:tc>
          <w:tcPr>
            <w:tcW w:w="66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6#</w:t>
            </w: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常温抗拉强度（Mpa）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常温抗弯强度（Mpa）</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6.0～7.0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常温抗弯强度（Mpa）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高温抗弯强度（Mpa）</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4.0～5.0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高温抗弯强度（Mpa）</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粒度(目）</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70/140</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粒度(目）</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灼烧减量（100%）</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2.66</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灼烧减量（100%）</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发气量(ml/g)</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13.5</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发气量(ml/g)</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熔点（℃）</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105</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熔点（℃）</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流动性（度）</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28</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流动性（度）</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b/>
                <w:bCs/>
                <w:color w:val="auto"/>
                <w:sz w:val="21"/>
                <w:szCs w:val="21"/>
                <w:vertAlign w:val="baseline"/>
                <w:lang w:val="en-US" w:eastAsia="zh-CN"/>
              </w:rPr>
            </w:pPr>
          </w:p>
        </w:tc>
        <w:tc>
          <w:tcPr>
            <w:tcW w:w="22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适用范围</w:t>
            </w:r>
          </w:p>
        </w:tc>
        <w:tc>
          <w:tcPr>
            <w:tcW w:w="123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r>
              <w:rPr>
                <w:rFonts w:hint="eastAsia" w:ascii="仿宋" w:hAnsi="仿宋" w:eastAsia="仿宋" w:cs="仿宋"/>
                <w:b/>
                <w:bCs/>
                <w:color w:val="auto"/>
                <w:sz w:val="21"/>
                <w:szCs w:val="21"/>
                <w:vertAlign w:val="baseline"/>
                <w:lang w:val="en-US" w:eastAsia="zh-CN"/>
              </w:rPr>
              <w:t>球铁</w:t>
            </w:r>
          </w:p>
        </w:tc>
        <w:tc>
          <w:tcPr>
            <w:tcW w:w="661" w:type="dxa"/>
            <w:vMerge w:val="continue"/>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1"/>
                <w:szCs w:val="21"/>
                <w:vertAlign w:val="baseline"/>
                <w:lang w:val="en-US" w:eastAsia="zh-CN"/>
              </w:rPr>
            </w:pPr>
          </w:p>
        </w:tc>
        <w:tc>
          <w:tcPr>
            <w:tcW w:w="23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r>
              <w:rPr>
                <w:rFonts w:hint="eastAsia" w:ascii="仿宋" w:hAnsi="仿宋" w:eastAsia="仿宋" w:cs="仿宋"/>
                <w:b/>
                <w:bCs/>
                <w:color w:val="auto"/>
                <w:sz w:val="21"/>
                <w:szCs w:val="21"/>
                <w:vertAlign w:val="baseline"/>
                <w:lang w:val="en-US" w:eastAsia="zh-CN"/>
              </w:rPr>
              <w:t>适用范围</w:t>
            </w:r>
          </w:p>
        </w:tc>
        <w:tc>
          <w:tcPr>
            <w:tcW w:w="119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1"/>
                <w:szCs w:val="21"/>
                <w:vertAlign w:val="baseline"/>
                <w:lang w:val="en-US" w:eastAsia="zh-CN" w:bidi="ar-SA"/>
              </w:rPr>
            </w:pPr>
          </w:p>
        </w:tc>
      </w:tr>
    </w:tbl>
    <w:p>
      <w:pPr>
        <w:spacing w:line="360" w:lineRule="auto"/>
        <w:rPr>
          <w:rFonts w:hint="eastAsia" w:ascii="仿宋" w:hAnsi="仿宋" w:eastAsia="仿宋" w:cs="仿宋"/>
          <w:color w:val="0070C0"/>
          <w:kern w:val="0"/>
          <w:sz w:val="28"/>
          <w:szCs w:val="28"/>
          <w:lang w:bidi="ar"/>
        </w:rPr>
      </w:pPr>
    </w:p>
    <w:p>
      <w:pPr>
        <w:rPr>
          <w:rFonts w:hint="eastAsia" w:ascii="仿宋" w:hAnsi="仿宋" w:eastAsia="仿宋" w:cs="仿宋"/>
          <w:b/>
          <w:bCs/>
          <w:color w:val="auto"/>
          <w:kern w:val="0"/>
          <w:sz w:val="28"/>
          <w:szCs w:val="28"/>
          <w:lang w:val="en-US" w:eastAsia="zh-CN" w:bidi="ar"/>
        </w:rPr>
      </w:pPr>
    </w:p>
    <w:p>
      <w:pPr>
        <w:rPr>
          <w:rFonts w:hint="eastAsia" w:ascii="仿宋" w:hAnsi="仿宋" w:eastAsia="仿宋" w:cs="仿宋"/>
          <w:b/>
          <w:bCs/>
          <w:color w:val="auto"/>
          <w:sz w:val="24"/>
        </w:rPr>
      </w:pPr>
      <w:r>
        <w:rPr>
          <w:rFonts w:hint="eastAsia" w:ascii="仿宋" w:hAnsi="仿宋" w:eastAsia="仿宋" w:cs="仿宋"/>
          <w:b/>
          <w:bCs/>
          <w:color w:val="auto"/>
          <w:kern w:val="0"/>
          <w:sz w:val="28"/>
          <w:szCs w:val="28"/>
          <w:lang w:val="en-US" w:eastAsia="zh-CN" w:bidi="ar"/>
        </w:rPr>
        <w:t xml:space="preserve">8.4 </w:t>
      </w:r>
      <w:r>
        <w:rPr>
          <w:rFonts w:hint="eastAsia" w:ascii="仿宋" w:hAnsi="仿宋" w:eastAsia="仿宋" w:cs="仿宋"/>
          <w:b/>
          <w:bCs/>
          <w:color w:val="auto"/>
          <w:kern w:val="0"/>
          <w:sz w:val="28"/>
          <w:szCs w:val="28"/>
          <w:lang w:bidi="ar"/>
        </w:rPr>
        <w:t>山西省铸造行业</w:t>
      </w:r>
      <w:r>
        <w:rPr>
          <w:rFonts w:hint="eastAsia" w:ascii="仿宋" w:hAnsi="仿宋" w:eastAsia="仿宋" w:cs="仿宋"/>
          <w:b/>
          <w:bCs/>
          <w:color w:val="auto"/>
          <w:sz w:val="28"/>
          <w:szCs w:val="28"/>
        </w:rPr>
        <w:t>协会--展览室对外开放</w:t>
      </w:r>
    </w:p>
    <w:p>
      <w:pPr>
        <w:spacing w:line="360" w:lineRule="auto"/>
        <w:ind w:firstLine="482" w:firstLineChars="200"/>
        <w:rPr>
          <w:rFonts w:hint="eastAsia" w:eastAsia="仿宋"/>
          <w:lang w:val="en-US" w:eastAsia="zh-CN"/>
        </w:rPr>
      </w:pPr>
      <w:r>
        <w:rPr>
          <w:rFonts w:hint="eastAsia" w:ascii="仿宋" w:hAnsi="仿宋" w:eastAsia="仿宋" w:cs="仿宋"/>
          <w:b/>
          <w:bCs/>
          <w:sz w:val="24"/>
        </w:rPr>
        <w:t>各理事、会员单位及行业同仁，经过各合作商的努力，山西省铸造行业协会展览室正式对外开放，</w:t>
      </w:r>
      <w:r>
        <w:rPr>
          <w:rFonts w:hint="eastAsia" w:ascii="仿宋" w:hAnsi="仿宋" w:eastAsia="仿宋" w:cs="仿宋"/>
          <w:b/>
          <w:bCs/>
          <w:color w:val="0000FF"/>
          <w:sz w:val="24"/>
        </w:rPr>
        <w:t>欢迎大家参观交流，本通讯</w:t>
      </w:r>
      <w:r>
        <w:rPr>
          <w:rFonts w:hint="eastAsia" w:ascii="仿宋" w:hAnsi="仿宋" w:eastAsia="仿宋" w:cs="仿宋"/>
          <w:b/>
          <w:bCs/>
          <w:sz w:val="24"/>
        </w:rPr>
        <w:t>将分期登载展商信息，供同行们交流学习。</w:t>
      </w:r>
      <w:r>
        <w:rPr>
          <w:rFonts w:hint="eastAsia" w:ascii="仿宋" w:hAnsi="仿宋" w:eastAsia="仿宋" w:cs="仿宋"/>
          <w:b/>
          <w:bCs/>
          <w:color w:val="FF0000"/>
          <w:sz w:val="24"/>
        </w:rPr>
        <w:t>欢迎有宣传和发展业务意向的企业及时</w:t>
      </w:r>
      <w:r>
        <w:rPr>
          <w:rFonts w:hint="eastAsia" w:ascii="仿宋" w:hAnsi="仿宋" w:eastAsia="仿宋" w:cs="仿宋"/>
          <w:b/>
          <w:bCs/>
          <w:color w:val="FF0000"/>
          <w:sz w:val="24"/>
          <w:lang w:val="en-US" w:eastAsia="zh-CN"/>
        </w:rPr>
        <w:t>联系</w:t>
      </w:r>
    </w:p>
    <w:p>
      <w:pPr>
        <w:spacing w:line="360" w:lineRule="auto"/>
        <w:jc w:val="center"/>
        <w:rPr>
          <w:rFonts w:hint="eastAsia" w:ascii="仿宋" w:hAnsi="仿宋" w:eastAsia="仿宋" w:cs="仿宋"/>
          <w:color w:val="0070C0"/>
          <w:kern w:val="0"/>
          <w:sz w:val="28"/>
          <w:szCs w:val="28"/>
          <w:lang w:bidi="ar"/>
        </w:rPr>
      </w:pPr>
      <w:r>
        <w:rPr>
          <w:rFonts w:hint="eastAsia" w:ascii="仿宋" w:hAnsi="仿宋" w:eastAsia="仿宋" w:cs="仿宋"/>
          <w:color w:val="0070C0"/>
          <w:kern w:val="0"/>
          <w:sz w:val="28"/>
          <w:szCs w:val="28"/>
          <w:lang w:eastAsia="zh-CN" w:bidi="ar"/>
        </w:rPr>
        <w:drawing>
          <wp:inline distT="0" distB="0" distL="114300" distR="114300">
            <wp:extent cx="4494530" cy="2491105"/>
            <wp:effectExtent l="0" t="0" r="1270" b="10795"/>
            <wp:docPr id="52" name="图片 52" descr="铸协版面定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铸协版面定稿"/>
                    <pic:cNvPicPr>
                      <a:picLocks noChangeAspect="1"/>
                    </pic:cNvPicPr>
                  </pic:nvPicPr>
                  <pic:blipFill>
                    <a:blip r:embed="rId58"/>
                    <a:stretch>
                      <a:fillRect/>
                    </a:stretch>
                  </pic:blipFill>
                  <pic:spPr>
                    <a:xfrm>
                      <a:off x="0" y="0"/>
                      <a:ext cx="4494530" cy="2491105"/>
                    </a:xfrm>
                    <a:prstGeom prst="rect">
                      <a:avLst/>
                    </a:prstGeom>
                  </pic:spPr>
                </pic:pic>
              </a:graphicData>
            </a:graphic>
          </wp:inline>
        </w:drawing>
      </w:r>
    </w:p>
    <w:p>
      <w:pPr>
        <w:spacing w:line="360" w:lineRule="auto"/>
        <w:jc w:val="left"/>
        <w:rPr>
          <w:rFonts w:hint="eastAsia" w:ascii="仿宋" w:hAnsi="仿宋" w:eastAsia="仿宋" w:cs="仿宋"/>
          <w:b/>
          <w:bCs/>
          <w:color w:val="auto"/>
          <w:kern w:val="0"/>
          <w:sz w:val="28"/>
          <w:szCs w:val="28"/>
          <w:lang w:val="en-US" w:eastAsia="zh-CN" w:bidi="ar"/>
        </w:rPr>
      </w:pPr>
    </w:p>
    <w:p>
      <w:pPr>
        <w:spacing w:line="360" w:lineRule="auto"/>
        <w:jc w:val="left"/>
        <w:rPr>
          <w:rFonts w:hint="default" w:ascii="仿宋" w:hAnsi="仿宋" w:eastAsia="仿宋" w:cs="仿宋"/>
          <w:b/>
          <w:bCs/>
          <w:color w:val="auto"/>
          <w:kern w:val="0"/>
          <w:sz w:val="28"/>
          <w:szCs w:val="28"/>
          <w:lang w:val="en-US" w:eastAsia="zh-CN" w:bidi="ar"/>
        </w:rPr>
      </w:pPr>
      <w:r>
        <w:rPr>
          <w:rFonts w:hint="eastAsia" w:ascii="仿宋" w:hAnsi="仿宋" w:eastAsia="仿宋" w:cs="仿宋"/>
          <w:b/>
          <w:bCs/>
          <w:color w:val="auto"/>
          <w:kern w:val="0"/>
          <w:sz w:val="28"/>
          <w:szCs w:val="28"/>
          <w:lang w:val="en-US" w:eastAsia="zh-CN" w:bidi="ar"/>
        </w:rPr>
        <w:t>8.5 广西兰科、恒利来、南京诺金、天津汇丰</w:t>
      </w:r>
    </w:p>
    <w:p>
      <w:pPr>
        <w:spacing w:line="360" w:lineRule="auto"/>
        <w:jc w:val="center"/>
        <w:rPr>
          <w:rFonts w:hint="eastAsia"/>
        </w:rPr>
      </w:pPr>
      <w:r>
        <w:rPr>
          <w:rFonts w:hint="eastAsia" w:ascii="仿宋" w:hAnsi="仿宋" w:eastAsia="仿宋" w:cs="仿宋"/>
          <w:b/>
          <w:bCs/>
          <w:color w:val="ED7D31" w:themeColor="accent2"/>
          <w:kern w:val="0"/>
          <w:sz w:val="28"/>
          <w:szCs w:val="28"/>
          <w:lang w:val="en-US" w:eastAsia="zh-CN" w:bidi="ar"/>
          <w14:textFill>
            <w14:solidFill>
              <w14:schemeClr w14:val="accent2"/>
            </w14:solidFill>
          </w14:textFill>
        </w:rPr>
        <w:drawing>
          <wp:inline distT="0" distB="0" distL="114300" distR="114300">
            <wp:extent cx="2559050" cy="3936365"/>
            <wp:effectExtent l="0" t="0" r="6350" b="635"/>
            <wp:docPr id="56" name="图片 56" descr="广西兰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广西兰科"/>
                    <pic:cNvPicPr>
                      <a:picLocks noChangeAspect="1"/>
                    </pic:cNvPicPr>
                  </pic:nvPicPr>
                  <pic:blipFill>
                    <a:blip r:embed="rId59"/>
                    <a:srcRect l="6902" t="25942" r="7239" b="2081"/>
                    <a:stretch>
                      <a:fillRect/>
                    </a:stretch>
                  </pic:blipFill>
                  <pic:spPr>
                    <a:xfrm>
                      <a:off x="0" y="0"/>
                      <a:ext cx="2559050" cy="3936365"/>
                    </a:xfrm>
                    <a:prstGeom prst="rect">
                      <a:avLst/>
                    </a:prstGeom>
                  </pic:spPr>
                </pic:pic>
              </a:graphicData>
            </a:graphic>
          </wp:inline>
        </w:drawing>
      </w:r>
      <w:r>
        <w:rPr>
          <w:rFonts w:hint="eastAsia" w:ascii="仿宋" w:hAnsi="仿宋" w:eastAsia="仿宋" w:cs="仿宋"/>
          <w:b/>
          <w:bCs/>
          <w:color w:val="ED7D31" w:themeColor="accent2"/>
          <w:kern w:val="0"/>
          <w:sz w:val="28"/>
          <w:szCs w:val="28"/>
          <w:lang w:val="en-US" w:eastAsia="zh-CN" w:bidi="ar"/>
          <w14:textFill>
            <w14:solidFill>
              <w14:schemeClr w14:val="accent2"/>
            </w14:solidFill>
          </w14:textFill>
        </w:rPr>
        <w:t xml:space="preserve">   </w:t>
      </w:r>
      <w:r>
        <w:rPr>
          <w:rFonts w:hint="eastAsia" w:ascii="仿宋" w:hAnsi="仿宋" w:eastAsia="仿宋" w:cs="仿宋"/>
          <w:b/>
          <w:bCs/>
          <w:color w:val="ED7D31" w:themeColor="accent2"/>
          <w:kern w:val="0"/>
          <w:sz w:val="28"/>
          <w:szCs w:val="28"/>
          <w:lang w:bidi="ar"/>
          <w14:textFill>
            <w14:solidFill>
              <w14:schemeClr w14:val="accent2"/>
            </w14:solidFill>
          </w14:textFill>
        </w:rPr>
        <w:drawing>
          <wp:inline distT="0" distB="0" distL="114300" distR="114300">
            <wp:extent cx="2419985" cy="3933190"/>
            <wp:effectExtent l="0" t="0" r="5715" b="3810"/>
            <wp:docPr id="57" name="图片 57" descr="恒利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恒利来"/>
                    <pic:cNvPicPr>
                      <a:picLocks noChangeAspect="1"/>
                    </pic:cNvPicPr>
                  </pic:nvPicPr>
                  <pic:blipFill>
                    <a:blip r:embed="rId60"/>
                    <a:stretch>
                      <a:fillRect/>
                    </a:stretch>
                  </pic:blipFill>
                  <pic:spPr>
                    <a:xfrm>
                      <a:off x="0" y="0"/>
                      <a:ext cx="2419985" cy="3933190"/>
                    </a:xfrm>
                    <a:prstGeom prst="rect">
                      <a:avLst/>
                    </a:prstGeom>
                  </pic:spPr>
                </pic:pic>
              </a:graphicData>
            </a:graphic>
          </wp:inline>
        </w:drawing>
      </w:r>
    </w:p>
    <w:p>
      <w:pPr>
        <w:spacing w:line="360" w:lineRule="auto"/>
        <w:jc w:val="center"/>
        <w:rPr>
          <w:rFonts w:hint="eastAsia" w:ascii="仿宋" w:hAnsi="仿宋" w:eastAsia="仿宋" w:cs="仿宋"/>
          <w:color w:val="0070C0"/>
          <w:kern w:val="0"/>
          <w:sz w:val="28"/>
          <w:szCs w:val="28"/>
          <w:lang w:eastAsia="zh-CN" w:bidi="ar"/>
        </w:rPr>
      </w:pPr>
      <w:r>
        <w:rPr>
          <w:rFonts w:hint="eastAsia" w:ascii="仿宋" w:hAnsi="仿宋" w:eastAsia="仿宋" w:cs="仿宋"/>
          <w:b/>
          <w:bCs/>
          <w:color w:val="ED7D31" w:themeColor="accent2"/>
          <w:kern w:val="0"/>
          <w:sz w:val="28"/>
          <w:szCs w:val="28"/>
          <w:lang w:bidi="ar"/>
          <w14:textFill>
            <w14:solidFill>
              <w14:schemeClr w14:val="accent2"/>
            </w14:solidFill>
          </w14:textFill>
        </w:rPr>
        <w:drawing>
          <wp:inline distT="0" distB="0" distL="114300" distR="114300">
            <wp:extent cx="2611755" cy="3999865"/>
            <wp:effectExtent l="0" t="0" r="4445" b="635"/>
            <wp:docPr id="55" name="图片 55" descr="天津汇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天津汇丰"/>
                    <pic:cNvPicPr>
                      <a:picLocks noChangeAspect="1"/>
                    </pic:cNvPicPr>
                  </pic:nvPicPr>
                  <pic:blipFill>
                    <a:blip r:embed="rId61"/>
                    <a:srcRect b="7013"/>
                    <a:stretch>
                      <a:fillRect/>
                    </a:stretch>
                  </pic:blipFill>
                  <pic:spPr>
                    <a:xfrm>
                      <a:off x="0" y="0"/>
                      <a:ext cx="2611755" cy="3999865"/>
                    </a:xfrm>
                    <a:prstGeom prst="rect">
                      <a:avLst/>
                    </a:prstGeom>
                  </pic:spPr>
                </pic:pic>
              </a:graphicData>
            </a:graphic>
          </wp:inline>
        </w:drawing>
      </w:r>
      <w:r>
        <w:rPr>
          <w:rFonts w:hint="eastAsia" w:ascii="仿宋" w:hAnsi="仿宋" w:eastAsia="仿宋" w:cs="仿宋"/>
          <w:b/>
          <w:bCs/>
          <w:color w:val="ED7D31" w:themeColor="accent2"/>
          <w:kern w:val="0"/>
          <w:sz w:val="28"/>
          <w:szCs w:val="28"/>
          <w:lang w:val="en-US" w:eastAsia="zh-CN" w:bidi="ar"/>
          <w14:textFill>
            <w14:solidFill>
              <w14:schemeClr w14:val="accent2"/>
            </w14:solidFill>
          </w14:textFill>
        </w:rPr>
        <w:t xml:space="preserve"> </w:t>
      </w:r>
      <w:r>
        <w:rPr>
          <w:rFonts w:hint="eastAsia" w:ascii="仿宋" w:hAnsi="仿宋" w:eastAsia="仿宋" w:cs="仿宋"/>
          <w:b/>
          <w:bCs/>
          <w:color w:val="ED7D31" w:themeColor="accent2"/>
          <w:kern w:val="0"/>
          <w:sz w:val="28"/>
          <w:szCs w:val="28"/>
          <w:lang w:bidi="ar"/>
          <w14:textFill>
            <w14:solidFill>
              <w14:schemeClr w14:val="accent2"/>
            </w14:solidFill>
          </w14:textFill>
        </w:rPr>
        <w:t xml:space="preserve"> </w:t>
      </w:r>
      <w:r>
        <w:rPr>
          <w:rFonts w:hint="eastAsia" w:ascii="仿宋" w:hAnsi="仿宋" w:eastAsia="仿宋" w:cs="仿宋"/>
          <w:color w:val="0070C0"/>
          <w:kern w:val="0"/>
          <w:sz w:val="28"/>
          <w:szCs w:val="28"/>
          <w:lang w:eastAsia="zh-CN" w:bidi="ar"/>
        </w:rPr>
        <w:drawing>
          <wp:inline distT="0" distB="0" distL="114300" distR="114300">
            <wp:extent cx="2320290" cy="3954145"/>
            <wp:effectExtent l="0" t="0" r="3810" b="8255"/>
            <wp:docPr id="58" name="图片 58" descr="南京诺金仪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南京诺金仪器"/>
                    <pic:cNvPicPr>
                      <a:picLocks noChangeAspect="1"/>
                    </pic:cNvPicPr>
                  </pic:nvPicPr>
                  <pic:blipFill>
                    <a:blip r:embed="rId62"/>
                    <a:srcRect t="2939" b="5591"/>
                    <a:stretch>
                      <a:fillRect/>
                    </a:stretch>
                  </pic:blipFill>
                  <pic:spPr>
                    <a:xfrm>
                      <a:off x="0" y="0"/>
                      <a:ext cx="2320290" cy="3954145"/>
                    </a:xfrm>
                    <a:prstGeom prst="rect">
                      <a:avLst/>
                    </a:prstGeom>
                  </pic:spPr>
                </pic:pic>
              </a:graphicData>
            </a:graphic>
          </wp:inline>
        </w:drawing>
      </w:r>
    </w:p>
    <w:p>
      <w:pPr>
        <w:spacing w:line="360" w:lineRule="auto"/>
        <w:rPr>
          <w:rFonts w:hint="eastAsia" w:ascii="仿宋" w:hAnsi="仿宋" w:eastAsia="仿宋" w:cs="仿宋"/>
          <w:b/>
          <w:bCs/>
          <w:color w:val="auto"/>
          <w:kern w:val="0"/>
          <w:sz w:val="28"/>
          <w:szCs w:val="28"/>
          <w:lang w:val="en-US" w:eastAsia="zh-CN" w:bidi="ar"/>
        </w:rPr>
      </w:pPr>
    </w:p>
    <w:p>
      <w:pPr>
        <w:spacing w:line="360" w:lineRule="auto"/>
        <w:rPr>
          <w:rFonts w:ascii="仿宋" w:hAnsi="仿宋" w:eastAsia="仿宋" w:cs="仿宋"/>
          <w:b/>
          <w:bCs/>
          <w:color w:val="auto"/>
          <w:kern w:val="0"/>
          <w:sz w:val="28"/>
          <w:szCs w:val="28"/>
          <w:lang w:bidi="ar"/>
        </w:rPr>
      </w:pPr>
      <w:r>
        <w:rPr>
          <w:rFonts w:hint="eastAsia" w:ascii="仿宋" w:hAnsi="仿宋" w:eastAsia="仿宋" w:cs="仿宋"/>
          <w:b/>
          <w:bCs/>
          <w:color w:val="auto"/>
          <w:kern w:val="0"/>
          <w:sz w:val="28"/>
          <w:szCs w:val="28"/>
          <w:lang w:val="en-US" w:eastAsia="zh-CN" w:bidi="ar"/>
        </w:rPr>
        <w:t xml:space="preserve">8.6 </w:t>
      </w:r>
      <w:r>
        <w:rPr>
          <w:rFonts w:hint="eastAsia" w:ascii="仿宋" w:hAnsi="仿宋" w:eastAsia="仿宋" w:cs="仿宋"/>
          <w:b/>
          <w:bCs/>
          <w:color w:val="auto"/>
          <w:kern w:val="0"/>
          <w:sz w:val="28"/>
          <w:szCs w:val="28"/>
          <w:lang w:bidi="ar"/>
        </w:rPr>
        <w:t>《铸造设备与工艺》杂志征订启事</w:t>
      </w:r>
    </w:p>
    <w:p>
      <w:pPr>
        <w:spacing w:line="360" w:lineRule="auto"/>
        <w:ind w:firstLine="240" w:firstLineChars="100"/>
        <w:rPr>
          <w:rFonts w:ascii="仿宋" w:hAnsi="仿宋" w:eastAsia="仿宋" w:cs="仿宋"/>
          <w:kern w:val="0"/>
          <w:sz w:val="24"/>
          <w:lang w:bidi="ar"/>
        </w:rPr>
      </w:pPr>
      <w:r>
        <w:rPr>
          <w:rFonts w:hint="eastAsia" w:ascii="仿宋" w:hAnsi="仿宋" w:eastAsia="仿宋" w:cs="仿宋"/>
          <w:kern w:val="0"/>
          <w:sz w:val="24"/>
          <w:lang w:bidi="ar"/>
        </w:rPr>
        <w:t>《铸造设备与工艺》杂志，1979年创刊，双月刊，国家级科技期刊。由太原科技大学主办，国内统一刊号CN14-1352/TG，国际标准刊号ISSN1674-6694，为国内外多家权威数据库和检索系统收录期刊。</w:t>
      </w:r>
    </w:p>
    <w:p>
      <w:pPr>
        <w:spacing w:line="360" w:lineRule="auto"/>
        <w:ind w:firstLine="241" w:firstLineChars="100"/>
        <w:rPr>
          <w:rFonts w:ascii="仿宋" w:hAnsi="仿宋" w:eastAsia="仿宋" w:cs="仿宋"/>
          <w:kern w:val="0"/>
          <w:sz w:val="24"/>
          <w:lang w:bidi="ar"/>
        </w:rPr>
      </w:pPr>
      <w:r>
        <w:rPr>
          <w:rFonts w:hint="eastAsia" w:ascii="仿宋" w:hAnsi="仿宋" w:eastAsia="仿宋" w:cs="仿宋"/>
          <w:b/>
          <w:bCs/>
          <w:kern w:val="0"/>
          <w:sz w:val="24"/>
          <w:lang w:bidi="ar"/>
        </w:rPr>
        <w:t xml:space="preserve">主要内容： </w:t>
      </w:r>
      <w:r>
        <w:rPr>
          <w:rFonts w:hint="eastAsia" w:ascii="仿宋" w:hAnsi="仿宋" w:eastAsia="仿宋" w:cs="仿宋"/>
          <w:kern w:val="0"/>
          <w:sz w:val="24"/>
          <w:lang w:bidi="ar"/>
        </w:rPr>
        <w:t>内容覆盖铸铁、铸钢和有色合金等领域，包括砂型铸造、压力铸造、离心铸造、精铸、消失模铸造（实型铸造）等铸造的设备、工艺、模具、材料方面的技术、经验、管理与研究。报道国内、国外铸造领域的先进科技成果、学术研究；产品开发应用与生产实践经验；铸造工厂（车间）的设计、技术改造、工厂经验及经营管理；铸造人才的培养及专业发展方面的文章。</w:t>
      </w:r>
    </w:p>
    <w:p>
      <w:pPr>
        <w:spacing w:line="360" w:lineRule="auto"/>
        <w:ind w:firstLine="241" w:firstLineChars="100"/>
        <w:rPr>
          <w:rFonts w:ascii="仿宋" w:hAnsi="仿宋" w:eastAsia="仿宋" w:cs="仿宋"/>
          <w:kern w:val="0"/>
          <w:sz w:val="24"/>
          <w:lang w:bidi="ar"/>
        </w:rPr>
      </w:pPr>
      <w:r>
        <w:rPr>
          <w:rFonts w:hint="eastAsia" w:ascii="仿宋" w:hAnsi="仿宋" w:eastAsia="仿宋" w:cs="仿宋"/>
          <w:b/>
          <w:bCs/>
          <w:kern w:val="0"/>
          <w:sz w:val="24"/>
          <w:lang w:bidi="ar"/>
        </w:rPr>
        <w:t>主要栏目：</w:t>
      </w:r>
      <w:r>
        <w:rPr>
          <w:rFonts w:hint="eastAsia" w:ascii="仿宋" w:hAnsi="仿宋" w:eastAsia="仿宋" w:cs="仿宋"/>
          <w:kern w:val="0"/>
          <w:sz w:val="24"/>
          <w:lang w:bidi="ar"/>
        </w:rPr>
        <w:t>铸造设备；铸造工艺；消失模与V法铸造；试验研究；应用研究；专题与综述；设计与计算；3D打印技术；车间设计；铸造模具与工装；企业管理；教学研究与人才培养；艺术铸造；智能铸造;行业管理与发展；信息与动态；科技成果；铸造市场；企业之窗；人才市场。</w:t>
      </w:r>
    </w:p>
    <w:p>
      <w:pPr>
        <w:spacing w:line="360" w:lineRule="auto"/>
        <w:rPr>
          <w:rFonts w:ascii="仿宋" w:hAnsi="仿宋" w:eastAsia="仿宋" w:cs="仿宋"/>
          <w:kern w:val="0"/>
          <w:sz w:val="24"/>
          <w:lang w:bidi="ar"/>
        </w:rPr>
      </w:pPr>
      <w:r>
        <w:rPr>
          <w:rFonts w:hint="eastAsia" w:ascii="仿宋" w:hAnsi="仿宋" w:eastAsia="仿宋" w:cs="仿宋"/>
          <w:kern w:val="0"/>
          <w:sz w:val="24"/>
          <w:lang w:bidi="ar"/>
        </w:rPr>
        <w:t>期刊订阅：本刊为双月刊，一年6期。邮发代号：22-154，国外发行代号：4845BM，定价15.00元/期，全年90元。全国各地邮局均可订阅，也可直接到本刊编辑部随时订阅，平邮免收邮资费。</w:t>
      </w:r>
    </w:p>
    <w:p>
      <w:pPr>
        <w:spacing w:line="360" w:lineRule="auto"/>
        <w:ind w:firstLine="240" w:firstLineChars="100"/>
        <w:rPr>
          <w:rFonts w:ascii="仿宋" w:hAnsi="仿宋" w:eastAsia="仿宋" w:cs="仿宋"/>
          <w:kern w:val="0"/>
          <w:sz w:val="24"/>
          <w:lang w:bidi="ar"/>
        </w:rPr>
      </w:pPr>
      <w:r>
        <w:rPr>
          <w:rFonts w:hint="eastAsia" w:ascii="仿宋" w:hAnsi="仿宋" w:eastAsia="仿宋" w:cs="仿宋"/>
          <w:kern w:val="0"/>
          <w:sz w:val="24"/>
          <w:lang w:bidi="ar"/>
        </w:rPr>
        <w:t>电子版《铸造设备与工艺》杂志与纸质印刷版同步发行，每期定价15元，全年订价90元。</w:t>
      </w:r>
    </w:p>
    <w:p>
      <w:pPr>
        <w:spacing w:line="360" w:lineRule="auto"/>
        <w:ind w:firstLine="241" w:firstLineChars="100"/>
        <w:rPr>
          <w:rFonts w:ascii="仿宋" w:hAnsi="仿宋" w:eastAsia="仿宋" w:cs="仿宋"/>
          <w:b/>
          <w:bCs/>
          <w:color w:val="FF0000"/>
          <w:kern w:val="0"/>
          <w:sz w:val="24"/>
          <w:lang w:bidi="ar"/>
        </w:rPr>
      </w:pPr>
      <w:r>
        <w:rPr>
          <w:rFonts w:hint="eastAsia" w:ascii="仿宋" w:hAnsi="仿宋" w:eastAsia="仿宋" w:cs="仿宋"/>
          <w:b/>
          <w:bCs/>
          <w:color w:val="FF0000"/>
          <w:kern w:val="0"/>
          <w:sz w:val="24"/>
          <w:lang w:bidi="ar"/>
        </w:rPr>
        <w:t>欢迎订阅、欢迎投稿、欢迎刊登广告!</w:t>
      </w:r>
    </w:p>
    <w:p>
      <w:pPr>
        <w:spacing w:line="360" w:lineRule="auto"/>
        <w:rPr>
          <w:rFonts w:ascii="仿宋" w:hAnsi="仿宋" w:eastAsia="仿宋" w:cs="仿宋"/>
          <w:kern w:val="0"/>
          <w:sz w:val="24"/>
          <w:lang w:bidi="ar"/>
        </w:rPr>
      </w:pPr>
      <w:r>
        <w:rPr>
          <w:rFonts w:hint="eastAsia" w:ascii="仿宋" w:hAnsi="仿宋" w:eastAsia="仿宋" w:cs="仿宋"/>
          <w:kern w:val="0"/>
          <w:sz w:val="24"/>
          <w:lang w:bidi="ar"/>
        </w:rPr>
        <w:t>邮编：030024  地址：山西省太原市万柏林区太原科技大学240信箱</w:t>
      </w:r>
    </w:p>
    <w:p>
      <w:pPr>
        <w:spacing w:line="360" w:lineRule="auto"/>
        <w:rPr>
          <w:rFonts w:ascii="仿宋" w:hAnsi="仿宋" w:eastAsia="仿宋" w:cs="仿宋"/>
          <w:kern w:val="0"/>
          <w:sz w:val="24"/>
          <w:lang w:bidi="ar"/>
        </w:rPr>
      </w:pPr>
      <w:r>
        <w:rPr>
          <w:rFonts w:hint="eastAsia" w:ascii="仿宋" w:hAnsi="仿宋" w:eastAsia="仿宋" w:cs="仿宋"/>
          <w:kern w:val="0"/>
          <w:sz w:val="24"/>
          <w:lang w:bidi="ar"/>
        </w:rPr>
        <w:t>电话：  13513612782    传真：0351-6999221</w:t>
      </w:r>
    </w:p>
    <w:p>
      <w:pPr>
        <w:spacing w:line="360" w:lineRule="auto"/>
        <w:rPr>
          <w:rFonts w:ascii="仿宋" w:hAnsi="仿宋" w:eastAsia="仿宋" w:cs="仿宋"/>
          <w:kern w:val="0"/>
          <w:sz w:val="24"/>
          <w:lang w:bidi="ar"/>
        </w:rPr>
      </w:pPr>
      <w:r>
        <w:rPr>
          <w:rFonts w:hint="eastAsia" w:ascii="仿宋" w:hAnsi="仿宋" w:eastAsia="仿宋" w:cs="仿宋"/>
          <w:kern w:val="0"/>
          <w:sz w:val="24"/>
          <w:lang w:bidi="ar"/>
        </w:rPr>
        <w:t>邮箱：zsby@sina.com    网址： www.foundrycn.cn</w:t>
      </w:r>
    </w:p>
    <w:p>
      <w:pPr>
        <w:spacing w:line="360" w:lineRule="auto"/>
        <w:rPr>
          <w:rFonts w:ascii="仿宋" w:hAnsi="仿宋" w:eastAsia="仿宋" w:cs="仿宋"/>
          <w:kern w:val="0"/>
          <w:sz w:val="24"/>
          <w:lang w:bidi="ar"/>
        </w:rPr>
      </w:pPr>
      <w:r>
        <w:rPr>
          <w:rFonts w:hint="eastAsia" w:ascii="仿宋" w:hAnsi="仿宋" w:eastAsia="仿宋" w:cs="仿宋"/>
          <w:kern w:val="0"/>
          <w:sz w:val="24"/>
          <w:lang w:bidi="ar"/>
        </w:rPr>
        <w:t>微信公众号：zzsbygy1979（铸造设备与工艺）</w:t>
      </w:r>
    </w:p>
    <w:p>
      <w:pPr>
        <w:spacing w:line="360" w:lineRule="auto"/>
        <w:rPr>
          <w:rFonts w:ascii="仿宋" w:hAnsi="仿宋" w:eastAsia="仿宋" w:cs="仿宋"/>
          <w:kern w:val="0"/>
          <w:sz w:val="24"/>
          <w:lang w:bidi="ar"/>
        </w:rPr>
      </w:pPr>
      <w:r>
        <w:rPr>
          <w:rFonts w:hint="eastAsia"/>
        </w:rPr>
        <w:drawing>
          <wp:anchor distT="0" distB="0" distL="114300" distR="114300" simplePos="0" relativeHeight="251663360" behindDoc="0" locked="0" layoutInCell="1" allowOverlap="1">
            <wp:simplePos x="0" y="0"/>
            <wp:positionH relativeFrom="column">
              <wp:posOffset>3094355</wp:posOffset>
            </wp:positionH>
            <wp:positionV relativeFrom="paragraph">
              <wp:posOffset>207010</wp:posOffset>
            </wp:positionV>
            <wp:extent cx="990600" cy="990600"/>
            <wp:effectExtent l="0" t="0" r="0" b="0"/>
            <wp:wrapSquare wrapText="bothSides"/>
            <wp:docPr id="43" name="图片 3" descr="订阅号铸造设备与工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 descr="订阅号铸造设备与工艺"/>
                    <pic:cNvPicPr>
                      <a:picLocks noChangeAspect="1"/>
                    </pic:cNvPicPr>
                  </pic:nvPicPr>
                  <pic:blipFill>
                    <a:blip r:embed="rId63"/>
                    <a:stretch>
                      <a:fillRect/>
                    </a:stretch>
                  </pic:blipFill>
                  <pic:spPr>
                    <a:xfrm>
                      <a:off x="0" y="0"/>
                      <a:ext cx="990600" cy="990600"/>
                    </a:xfrm>
                    <a:prstGeom prst="rect">
                      <a:avLst/>
                    </a:prstGeom>
                    <a:noFill/>
                    <a:ln>
                      <a:noFill/>
                    </a:ln>
                  </pic:spPr>
                </pic:pic>
              </a:graphicData>
            </a:graphic>
          </wp:anchor>
        </w:drawing>
      </w:r>
      <w:r>
        <w:rPr>
          <w:b/>
          <w:bCs/>
          <w:sz w:val="44"/>
          <w:szCs w:val="44"/>
        </w:rPr>
        <w:drawing>
          <wp:anchor distT="0" distB="0" distL="114300" distR="114300" simplePos="0" relativeHeight="251662336" behindDoc="0" locked="0" layoutInCell="1" allowOverlap="1">
            <wp:simplePos x="0" y="0"/>
            <wp:positionH relativeFrom="column">
              <wp:posOffset>960120</wp:posOffset>
            </wp:positionH>
            <wp:positionV relativeFrom="paragraph">
              <wp:posOffset>237490</wp:posOffset>
            </wp:positionV>
            <wp:extent cx="870585" cy="869950"/>
            <wp:effectExtent l="0" t="0" r="13335" b="13970"/>
            <wp:wrapSquare wrapText="bothSides"/>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pic:cNvPicPr>
                      <a:picLocks noChangeAspect="1"/>
                    </pic:cNvPicPr>
                  </pic:nvPicPr>
                  <pic:blipFill>
                    <a:blip r:embed="rId64"/>
                    <a:stretch>
                      <a:fillRect/>
                    </a:stretch>
                  </pic:blipFill>
                  <pic:spPr>
                    <a:xfrm>
                      <a:off x="0" y="0"/>
                      <a:ext cx="870585" cy="869950"/>
                    </a:xfrm>
                    <a:prstGeom prst="rect">
                      <a:avLst/>
                    </a:prstGeom>
                    <a:noFill/>
                    <a:ln>
                      <a:noFill/>
                    </a:ln>
                  </pic:spPr>
                </pic:pic>
              </a:graphicData>
            </a:graphic>
          </wp:anchor>
        </w:drawing>
      </w:r>
    </w:p>
    <w:p>
      <w:pPr>
        <w:spacing w:line="360" w:lineRule="auto"/>
        <w:rPr>
          <w:rFonts w:hint="eastAsia" w:eastAsia="方正黑体简体"/>
          <w:lang w:eastAsia="zh-CN"/>
        </w:rPr>
      </w:pPr>
      <w:r>
        <w:rPr>
          <w:rFonts w:hint="eastAsia" w:ascii="仿宋" w:hAnsi="仿宋" w:eastAsia="仿宋" w:cs="仿宋"/>
          <w:kern w:val="0"/>
          <w:sz w:val="24"/>
          <w:lang w:bidi="ar"/>
        </w:rPr>
        <w:t xml:space="preserve">                                         </w:t>
      </w:r>
    </w:p>
    <w:p>
      <w:pPr>
        <w:jc w:val="both"/>
        <w:rPr>
          <w:rFonts w:hint="eastAsia" w:ascii="宋体" w:hAnsi="宋体" w:eastAsia="宋体" w:cs="宋体"/>
          <w:color w:val="000000" w:themeColor="text1"/>
          <w:sz w:val="28"/>
          <w:szCs w:val="28"/>
          <w14:textFill>
            <w14:solidFill>
              <w14:schemeClr w14:val="tx1"/>
            </w14:solidFill>
          </w14:textFill>
        </w:rPr>
      </w:pPr>
    </w:p>
    <w:p>
      <w:pPr>
        <w:jc w:val="both"/>
        <w:rPr>
          <w:rFonts w:hint="eastAsia" w:ascii="宋体" w:hAnsi="宋体" w:eastAsia="宋体" w:cs="宋体"/>
          <w:color w:val="000000" w:themeColor="text1"/>
          <w:sz w:val="28"/>
          <w:szCs w:val="28"/>
          <w14:textFill>
            <w14:solidFill>
              <w14:schemeClr w14:val="tx1"/>
            </w14:solidFill>
          </w14:textFill>
        </w:rPr>
      </w:pPr>
    </w:p>
    <w:p>
      <w:pPr>
        <w:jc w:val="both"/>
        <w:rPr>
          <w:rFonts w:hint="eastAsia" w:ascii="宋体" w:hAnsi="宋体" w:eastAsia="宋体" w:cs="宋体"/>
          <w:color w:val="000000" w:themeColor="text1"/>
          <w:sz w:val="28"/>
          <w:szCs w:val="28"/>
          <w14:textFill>
            <w14:solidFill>
              <w14:schemeClr w14:val="tx1"/>
            </w14:solidFill>
          </w14:textFill>
        </w:rPr>
      </w:pPr>
    </w:p>
    <w:p>
      <w:pPr>
        <w:jc w:val="center"/>
        <w:rPr>
          <w:rFonts w:hint="eastAsia" w:ascii="宋体" w:hAnsi="宋体" w:eastAsia="宋体" w:cs="宋体"/>
          <w:color w:val="000000" w:themeColor="text1"/>
          <w:sz w:val="28"/>
          <w:szCs w:val="28"/>
          <w14:textFill>
            <w14:solidFill>
              <w14:schemeClr w14:val="tx1"/>
            </w14:solidFill>
          </w14:textFill>
        </w:rPr>
      </w:pPr>
      <w:r>
        <w:rPr>
          <w:rFonts w:hint="eastAsia" w:ascii="仿宋" w:hAnsi="仿宋" w:eastAsia="仿宋" w:cs="仿宋"/>
          <w:color w:val="0070C0"/>
          <w:kern w:val="0"/>
          <w:sz w:val="28"/>
          <w:szCs w:val="28"/>
          <w:lang w:eastAsia="zh-CN" w:bidi="ar"/>
        </w:rPr>
        <w:drawing>
          <wp:inline distT="0" distB="0" distL="114300" distR="114300">
            <wp:extent cx="4471035" cy="2283460"/>
            <wp:effectExtent l="0" t="0" r="12065" b="2540"/>
            <wp:docPr id="75" name="图片 75" descr="合作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合作图片"/>
                    <pic:cNvPicPr>
                      <a:picLocks noChangeAspect="1"/>
                    </pic:cNvPicPr>
                  </pic:nvPicPr>
                  <pic:blipFill>
                    <a:blip r:embed="rId65"/>
                    <a:srcRect b="8493"/>
                    <a:stretch>
                      <a:fillRect/>
                    </a:stretch>
                  </pic:blipFill>
                  <pic:spPr>
                    <a:xfrm>
                      <a:off x="0" y="0"/>
                      <a:ext cx="4471035" cy="2283460"/>
                    </a:xfrm>
                    <a:prstGeom prst="rect">
                      <a:avLst/>
                    </a:prstGeom>
                  </pic:spPr>
                </pic:pic>
              </a:graphicData>
            </a:graphic>
          </wp:inline>
        </w:drawing>
      </w:r>
    </w:p>
    <w:p>
      <w:pPr>
        <w:jc w:val="both"/>
        <w:rPr>
          <w:rFonts w:hint="eastAsia" w:ascii="宋体" w:hAnsi="宋体" w:eastAsia="宋体" w:cs="宋体"/>
          <w:color w:val="000000" w:themeColor="text1"/>
          <w:sz w:val="28"/>
          <w:szCs w:val="28"/>
          <w14:textFill>
            <w14:solidFill>
              <w14:schemeClr w14:val="tx1"/>
            </w14:solidFill>
          </w14:textFill>
        </w:rPr>
      </w:pPr>
    </w:p>
    <w:p>
      <w:pPr>
        <w:jc w:val="both"/>
        <w:rPr>
          <w:rFonts w:hint="eastAsia" w:ascii="宋体" w:hAnsi="宋体" w:eastAsia="宋体" w:cs="宋体"/>
          <w:color w:val="000000" w:themeColor="text1"/>
          <w:sz w:val="28"/>
          <w:szCs w:val="28"/>
          <w14:textFill>
            <w14:solidFill>
              <w14:schemeClr w14:val="tx1"/>
            </w14:solidFill>
          </w14:textFill>
        </w:rPr>
      </w:pPr>
    </w:p>
    <w:p>
      <w:pPr>
        <w:jc w:val="both"/>
        <w:rPr>
          <w:rFonts w:hint="eastAsia" w:ascii="宋体" w:hAnsi="宋体" w:eastAsia="宋体" w:cs="宋体"/>
          <w:color w:val="000000" w:themeColor="text1"/>
          <w:sz w:val="28"/>
          <w:szCs w:val="28"/>
          <w14:textFill>
            <w14:solidFill>
              <w14:schemeClr w14:val="tx1"/>
            </w14:solidFill>
          </w14:textFill>
        </w:rPr>
      </w:pPr>
    </w:p>
    <w:p>
      <w:pPr>
        <w:jc w:val="both"/>
        <w:rPr>
          <w:rFonts w:hint="eastAsia" w:ascii="宋体" w:hAnsi="宋体" w:eastAsia="宋体" w:cs="宋体"/>
          <w:color w:val="000000" w:themeColor="text1"/>
          <w:sz w:val="28"/>
          <w:szCs w:val="28"/>
          <w14:textFill>
            <w14:solidFill>
              <w14:schemeClr w14:val="tx1"/>
            </w14:solidFill>
          </w14:textFill>
        </w:rPr>
      </w:pPr>
    </w:p>
    <w:p>
      <w:pPr>
        <w:jc w:val="both"/>
        <w:rPr>
          <w:rFonts w:hint="eastAsia" w:ascii="宋体" w:hAnsi="宋体" w:eastAsia="宋体" w:cs="宋体"/>
          <w:color w:val="000000" w:themeColor="text1"/>
          <w:sz w:val="28"/>
          <w:szCs w:val="28"/>
          <w14:textFill>
            <w14:solidFill>
              <w14:schemeClr w14:val="tx1"/>
            </w14:solidFill>
          </w14:textFill>
        </w:rPr>
      </w:pPr>
    </w:p>
    <w:p>
      <w:pPr>
        <w:ind w:firstLine="560" w:firstLineChars="200"/>
        <w:jc w:val="both"/>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pPr>
        <w:spacing w:line="360"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《山西铸造通讯》编辑部：</w:t>
      </w:r>
    </w:p>
    <w:p>
      <w:pPr>
        <w:spacing w:line="360" w:lineRule="auto"/>
        <w:ind w:firstLine="280" w:firstLineChars="1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主编：王录才</w:t>
      </w:r>
    </w:p>
    <w:p>
      <w:pPr>
        <w:spacing w:line="360" w:lineRule="auto"/>
        <w:ind w:firstLine="280" w:firstLineChars="1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编辑：王广业  郝鹏飞  梅  好  王彩红</w:t>
      </w:r>
      <w:r>
        <w:rPr>
          <w:rFonts w:hint="eastAsia" w:ascii="仿宋" w:hAnsi="仿宋" w:eastAsia="仿宋" w:cs="仿宋"/>
          <w:color w:val="000000" w:themeColor="text1"/>
          <w:sz w:val="28"/>
          <w:szCs w:val="28"/>
          <w:lang w:val="en-US" w:eastAsia="zh-CN"/>
          <w14:textFill>
            <w14:solidFill>
              <w14:schemeClr w14:val="tx1"/>
            </w14:solidFill>
          </w14:textFill>
        </w:rPr>
        <w:t xml:space="preserve">  张琪</w:t>
      </w:r>
    </w:p>
    <w:p>
      <w:pPr>
        <w:spacing w:line="360" w:lineRule="auto"/>
        <w:ind w:firstLine="280" w:firstLineChars="1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地址：太原市小店区黄陵路56号1号楼三层3005号</w:t>
      </w:r>
    </w:p>
    <w:p>
      <w:pPr>
        <w:spacing w:line="360" w:lineRule="auto"/>
        <w:ind w:firstLine="1120" w:firstLineChars="4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（山西省农业机械化科学研究院）                    </w:t>
      </w:r>
    </w:p>
    <w:p>
      <w:pPr>
        <w:spacing w:line="360" w:lineRule="auto"/>
        <w:ind w:firstLine="280" w:firstLineChars="1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邮编：  030000            电话： 0351-3982874            </w:t>
      </w:r>
    </w:p>
    <w:p>
      <w:pPr>
        <w:ind w:firstLine="280" w:firstLineChars="1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邮箱：  </w:t>
      </w:r>
      <w:r>
        <w:fldChar w:fldCharType="begin"/>
      </w:r>
      <w:r>
        <w:instrText xml:space="preserve"> HYPERLINK "mailto:sxzzxh12@163.com" </w:instrText>
      </w:r>
      <w:r>
        <w:fldChar w:fldCharType="separate"/>
      </w:r>
      <w:r>
        <w:rPr>
          <w:rStyle w:val="28"/>
          <w:rFonts w:hint="eastAsia" w:ascii="仿宋" w:hAnsi="仿宋" w:eastAsia="仿宋" w:cs="仿宋"/>
          <w:color w:val="000000" w:themeColor="text1"/>
          <w:sz w:val="28"/>
          <w:szCs w:val="28"/>
          <w14:textFill>
            <w14:solidFill>
              <w14:schemeClr w14:val="tx1"/>
            </w14:solidFill>
          </w14:textFill>
        </w:rPr>
        <w:t>sxzzxh12@163.com</w:t>
      </w:r>
      <w:r>
        <w:rPr>
          <w:rStyle w:val="28"/>
          <w:rFonts w:hint="eastAsia" w:ascii="仿宋" w:hAnsi="仿宋" w:eastAsia="仿宋" w:cs="仿宋"/>
          <w:color w:val="000000" w:themeColor="text1"/>
          <w:sz w:val="28"/>
          <w:szCs w:val="28"/>
          <w14:textFill>
            <w14:solidFill>
              <w14:schemeClr w14:val="tx1"/>
            </w14:solidFill>
          </w14:textFill>
        </w:rPr>
        <w:fldChar w:fldCharType="end"/>
      </w:r>
    </w:p>
    <w:p>
      <w:pPr>
        <w:snapToGrid w:val="0"/>
        <w:spacing w:line="360" w:lineRule="auto"/>
        <w:ind w:firstLine="840" w:firstLineChars="300"/>
        <w:rPr>
          <w:color w:val="000000"/>
          <w:szCs w:val="21"/>
        </w:rPr>
      </w:pPr>
      <w:r>
        <w:rPr>
          <w:rFonts w:hint="eastAsia" w:ascii="仿宋" w:hAnsi="仿宋" w:eastAsia="仿宋" w:cs="仿宋"/>
          <w:color w:val="000000"/>
          <w:sz w:val="28"/>
          <w:szCs w:val="28"/>
        </w:rPr>
        <w:t>山西铸造协会（www.sxzzxh.cn）</w:t>
      </w:r>
      <w:r>
        <w:rPr>
          <w:rFonts w:hint="eastAsia"/>
          <w:color w:val="000000"/>
          <w:sz w:val="22"/>
          <w:szCs w:val="22"/>
        </w:rPr>
        <w:t xml:space="preserve"> </w:t>
      </w:r>
      <w:r>
        <w:rPr>
          <w:rFonts w:hint="eastAsia"/>
          <w:color w:val="000000"/>
          <w:szCs w:val="21"/>
        </w:rPr>
        <w:t xml:space="preserve">        </w:t>
      </w:r>
      <w:r>
        <w:rPr>
          <w:b/>
          <w:bCs/>
          <w:sz w:val="44"/>
          <w:szCs w:val="44"/>
        </w:rPr>
        <w:drawing>
          <wp:inline distT="0" distB="0" distL="114300" distR="114300">
            <wp:extent cx="497205" cy="500380"/>
            <wp:effectExtent l="0" t="0" r="17145" b="13970"/>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66"/>
                    <a:stretch>
                      <a:fillRect/>
                    </a:stretch>
                  </pic:blipFill>
                  <pic:spPr>
                    <a:xfrm>
                      <a:off x="0" y="0"/>
                      <a:ext cx="497205" cy="500380"/>
                    </a:xfrm>
                    <a:prstGeom prst="rect">
                      <a:avLst/>
                    </a:prstGeom>
                    <a:noFill/>
                    <a:ln>
                      <a:noFill/>
                    </a:ln>
                  </pic:spPr>
                </pic:pic>
              </a:graphicData>
            </a:graphic>
          </wp:inline>
        </w:drawing>
      </w:r>
    </w:p>
    <w:p>
      <w:pPr>
        <w:snapToGrid w:val="0"/>
        <w:spacing w:line="360" w:lineRule="auto"/>
        <w:ind w:firstLine="840" w:firstLineChars="300"/>
        <w:rPr>
          <w:b/>
          <w:bCs/>
          <w:sz w:val="44"/>
          <w:szCs w:val="44"/>
        </w:rPr>
      </w:pPr>
      <w:r>
        <w:rPr>
          <w:rFonts w:hint="eastAsia" w:ascii="仿宋" w:hAnsi="仿宋" w:eastAsia="仿宋" w:cs="仿宋"/>
          <w:color w:val="000000"/>
          <w:sz w:val="28"/>
          <w:szCs w:val="28"/>
        </w:rPr>
        <w:t>山西省铸造行业协会微信公众号</w:t>
      </w:r>
      <w:r>
        <w:rPr>
          <w:rFonts w:hint="eastAsia" w:ascii="仿宋" w:hAnsi="仿宋" w:eastAsia="仿宋" w:cs="仿宋"/>
          <w:color w:val="000000"/>
          <w:sz w:val="32"/>
          <w:szCs w:val="32"/>
        </w:rPr>
        <w:t xml:space="preserve"> </w:t>
      </w:r>
      <w:r>
        <w:rPr>
          <w:rFonts w:hint="eastAsia"/>
          <w:color w:val="000000"/>
          <w:sz w:val="28"/>
          <w:szCs w:val="28"/>
        </w:rPr>
        <w:t xml:space="preserve">      </w:t>
      </w:r>
      <w:r>
        <w:rPr>
          <w:rFonts w:hint="eastAsia"/>
          <w:color w:val="000000"/>
          <w:szCs w:val="21"/>
        </w:rPr>
        <w:t xml:space="preserve"> </w:t>
      </w:r>
      <w:r>
        <w:rPr>
          <w:rFonts w:hint="eastAsia"/>
          <w:b/>
          <w:bCs/>
          <w:sz w:val="44"/>
          <w:szCs w:val="44"/>
        </w:rPr>
        <w:drawing>
          <wp:inline distT="0" distB="0" distL="114300" distR="114300">
            <wp:extent cx="523240" cy="523240"/>
            <wp:effectExtent l="0" t="0" r="10160" b="10160"/>
            <wp:docPr id="34" name="图片 2" descr="协会订阅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descr="协会订阅号"/>
                    <pic:cNvPicPr>
                      <a:picLocks noChangeAspect="1"/>
                    </pic:cNvPicPr>
                  </pic:nvPicPr>
                  <pic:blipFill>
                    <a:blip r:embed="rId67"/>
                    <a:stretch>
                      <a:fillRect/>
                    </a:stretch>
                  </pic:blipFill>
                  <pic:spPr>
                    <a:xfrm>
                      <a:off x="0" y="0"/>
                      <a:ext cx="523240" cy="523240"/>
                    </a:xfrm>
                    <a:prstGeom prst="rect">
                      <a:avLst/>
                    </a:prstGeom>
                    <a:noFill/>
                    <a:ln>
                      <a:noFill/>
                    </a:ln>
                  </pic:spPr>
                </pic:pic>
              </a:graphicData>
            </a:graphic>
          </wp:inline>
        </w:drawing>
      </w:r>
    </w:p>
    <w:p>
      <w:pPr>
        <w:snapToGrid w:val="0"/>
        <w:spacing w:line="360" w:lineRule="auto"/>
        <w:ind w:firstLine="840" w:firstLineChars="300"/>
        <w:rPr>
          <w:color w:val="000000"/>
          <w:szCs w:val="21"/>
        </w:rPr>
      </w:pPr>
      <w:r>
        <w:rPr>
          <w:rFonts w:hint="eastAsia" w:ascii="仿宋" w:hAnsi="仿宋" w:eastAsia="仿宋" w:cs="仿宋"/>
          <w:color w:val="000000"/>
          <w:sz w:val="28"/>
          <w:szCs w:val="28"/>
        </w:rPr>
        <w:t>《铸造设备与工艺》杂志微信公众号</w:t>
      </w:r>
      <w:r>
        <w:rPr>
          <w:rFonts w:hint="eastAsia" w:ascii="仿宋" w:hAnsi="仿宋" w:eastAsia="仿宋" w:cs="仿宋"/>
          <w:color w:val="000000"/>
          <w:sz w:val="22"/>
          <w:szCs w:val="22"/>
        </w:rPr>
        <w:t xml:space="preserve">  </w:t>
      </w:r>
      <w:r>
        <w:rPr>
          <w:rFonts w:hint="eastAsia"/>
          <w:color w:val="000000"/>
          <w:szCs w:val="21"/>
        </w:rPr>
        <w:t xml:space="preserve">   </w:t>
      </w:r>
      <w:r>
        <w:rPr>
          <w:color w:val="000000"/>
          <w:szCs w:val="21"/>
        </w:rPr>
        <w:drawing>
          <wp:inline distT="0" distB="0" distL="114300" distR="114300">
            <wp:extent cx="494665" cy="494665"/>
            <wp:effectExtent l="0" t="0" r="635" b="635"/>
            <wp:docPr id="35" name="图片 3" descr="订阅号铸造设备与工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descr="订阅号铸造设备与工艺"/>
                    <pic:cNvPicPr>
                      <a:picLocks noChangeAspect="1"/>
                    </pic:cNvPicPr>
                  </pic:nvPicPr>
                  <pic:blipFill>
                    <a:blip r:embed="rId68"/>
                    <a:stretch>
                      <a:fillRect/>
                    </a:stretch>
                  </pic:blipFill>
                  <pic:spPr>
                    <a:xfrm>
                      <a:off x="0" y="0"/>
                      <a:ext cx="494665" cy="494665"/>
                    </a:xfrm>
                    <a:prstGeom prst="rect">
                      <a:avLst/>
                    </a:prstGeom>
                    <a:noFill/>
                    <a:ln>
                      <a:noFill/>
                    </a:ln>
                  </pic:spPr>
                </pic:pic>
              </a:graphicData>
            </a:graphic>
          </wp:inline>
        </w:drawing>
      </w:r>
      <w:r>
        <w:rPr>
          <w:rFonts w:hint="eastAsia"/>
          <w:color w:val="000000"/>
          <w:szCs w:val="21"/>
        </w:rPr>
        <w:t xml:space="preserve">            </w:t>
      </w:r>
    </w:p>
    <w:p>
      <w:pPr>
        <w:snapToGrid w:val="0"/>
        <w:spacing w:line="360" w:lineRule="auto"/>
        <w:ind w:firstLine="840" w:firstLineChars="300"/>
        <w:rPr>
          <w:rFonts w:ascii="华文楷体" w:hAnsi="华文楷体" w:eastAsia="华文楷体" w:cs="华文楷体"/>
          <w:color w:val="000000" w:themeColor="text1"/>
          <w:sz w:val="28"/>
          <w:szCs w:val="28"/>
          <w14:textFill>
            <w14:solidFill>
              <w14:schemeClr w14:val="tx1"/>
            </w14:solidFill>
          </w14:textFill>
        </w:rPr>
      </w:pPr>
      <w:r>
        <w:rPr>
          <w:rFonts w:hint="eastAsia" w:ascii="仿宋" w:hAnsi="仿宋" w:eastAsia="仿宋" w:cs="仿宋"/>
          <w:color w:val="000000"/>
          <w:sz w:val="28"/>
          <w:szCs w:val="28"/>
        </w:rPr>
        <w:t>铸造设备与工艺网 (www.foundrycn.cn)</w:t>
      </w:r>
      <w:r>
        <w:rPr>
          <w:rFonts w:hint="eastAsia"/>
          <w:color w:val="000000"/>
          <w:szCs w:val="21"/>
        </w:rPr>
        <w:t xml:space="preserve"> </w:t>
      </w:r>
      <w:r>
        <w:rPr>
          <w:color w:val="000000"/>
          <w:szCs w:val="21"/>
        </w:rPr>
        <w:t xml:space="preserve"> </w:t>
      </w:r>
      <w:r>
        <w:rPr>
          <w:color w:val="000000"/>
          <w:szCs w:val="21"/>
        </w:rPr>
        <w:drawing>
          <wp:inline distT="0" distB="0" distL="114300" distR="114300">
            <wp:extent cx="466725" cy="468630"/>
            <wp:effectExtent l="0" t="0" r="9525" b="7620"/>
            <wp:docPr id="36" name="图片 4" descr="铸造设备与工艺网站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descr="铸造设备与工艺网站二维码"/>
                    <pic:cNvPicPr>
                      <a:picLocks noChangeAspect="1"/>
                    </pic:cNvPicPr>
                  </pic:nvPicPr>
                  <pic:blipFill>
                    <a:blip r:embed="rId69"/>
                    <a:stretch>
                      <a:fillRect/>
                    </a:stretch>
                  </pic:blipFill>
                  <pic:spPr>
                    <a:xfrm>
                      <a:off x="0" y="0"/>
                      <a:ext cx="466725" cy="468630"/>
                    </a:xfrm>
                    <a:prstGeom prst="rect">
                      <a:avLst/>
                    </a:prstGeom>
                    <a:noFill/>
                    <a:ln>
                      <a:noFill/>
                    </a:ln>
                  </pic:spPr>
                </pic:pic>
              </a:graphicData>
            </a:graphic>
          </wp:inline>
        </w:drawing>
      </w:r>
      <w:r>
        <w:rPr>
          <w:rFonts w:hint="eastAsia"/>
          <w:color w:val="000000"/>
          <w:szCs w:val="21"/>
        </w:rPr>
        <w:t xml:space="preserve"> </w:t>
      </w:r>
      <w:r>
        <w:rPr>
          <w:rFonts w:hint="eastAsia" w:ascii="宋体" w:hAnsi="宋体" w:eastAsia="宋体" w:cs="宋体"/>
          <w:color w:val="000000" w:themeColor="text1"/>
          <w:sz w:val="28"/>
          <w:szCs w:val="28"/>
          <w14:textFill>
            <w14:solidFill>
              <w14:schemeClr w14:val="tx1"/>
            </w14:solidFill>
          </w14:textFill>
        </w:rPr>
        <w:t xml:space="preserve"> </w:t>
      </w:r>
    </w:p>
    <w:sectPr>
      <w:headerReference r:id="rId3" w:type="default"/>
      <w:footerReference r:id="rId4" w:type="default"/>
      <w:pgSz w:w="11906" w:h="16838"/>
      <w:pgMar w:top="1440" w:right="1689" w:bottom="1440" w:left="168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黑体简体">
    <w:altName w:val="微软雅黑"/>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hint="default" w:eastAsiaTheme="minor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PowerPlusWaterMarkObject30366" o:spid="_x0000_s3073" o:spt="136" type="#_x0000_t136" style="position:absolute;left:0pt;height:101.25pt;width:486pt;mso-position-horizontal:center;mso-position-horizontal-relative:margin;mso-position-vertical:center;mso-position-vertical-relative:margin;rotation:-2949120f;z-index:-251657216;mso-width-relative:page;mso-height-relative:page;" fillcolor="#C0C0C0" filled="t" stroked="f" coordsize="21600,21600">
          <v:path/>
          <v:fill on="t" opacity="15728f" focussize="0,0"/>
          <v:stroke on="f"/>
          <v:imagedata o:title=""/>
          <o:lock v:ext="edit" aspectratio="t"/>
          <v:textpath on="t" fitshape="t" fitpath="t" trim="t" xscale="f" string="山西铸造通讯" style="font-family:Adobe 仿宋 Std R;font-size:36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7E4F35"/>
    <w:multiLevelType w:val="multilevel"/>
    <w:tmpl w:val="D47E4F35"/>
    <w:lvl w:ilvl="0" w:tentative="0">
      <w:start w:val="3"/>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0791583D"/>
    <w:multiLevelType w:val="multilevel"/>
    <w:tmpl w:val="0791583D"/>
    <w:lvl w:ilvl="0" w:tentative="0">
      <w:start w:val="1"/>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2">
    <w:nsid w:val="3B8A0E63"/>
    <w:multiLevelType w:val="singleLevel"/>
    <w:tmpl w:val="3B8A0E63"/>
    <w:lvl w:ilvl="0" w:tentative="0">
      <w:start w:val="1"/>
      <w:numFmt w:val="chineseCounting"/>
      <w:suff w:val="nothing"/>
      <w:lvlText w:val="第%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4D0446A1"/>
    <w:rsid w:val="00043144"/>
    <w:rsid w:val="000A2A0B"/>
    <w:rsid w:val="000D0F27"/>
    <w:rsid w:val="00104B41"/>
    <w:rsid w:val="00137327"/>
    <w:rsid w:val="002841FC"/>
    <w:rsid w:val="002C351B"/>
    <w:rsid w:val="002C7534"/>
    <w:rsid w:val="00306B22"/>
    <w:rsid w:val="003C5A21"/>
    <w:rsid w:val="00445E3A"/>
    <w:rsid w:val="004C4356"/>
    <w:rsid w:val="004D7FB3"/>
    <w:rsid w:val="004E2E93"/>
    <w:rsid w:val="004F77AE"/>
    <w:rsid w:val="005519A6"/>
    <w:rsid w:val="00572D1F"/>
    <w:rsid w:val="005F056D"/>
    <w:rsid w:val="00661709"/>
    <w:rsid w:val="006D5EF3"/>
    <w:rsid w:val="006F7672"/>
    <w:rsid w:val="00791683"/>
    <w:rsid w:val="007D5A5E"/>
    <w:rsid w:val="008C3AAB"/>
    <w:rsid w:val="00910ADF"/>
    <w:rsid w:val="009249A8"/>
    <w:rsid w:val="00A46ADE"/>
    <w:rsid w:val="00AC6CBE"/>
    <w:rsid w:val="00AD6BC7"/>
    <w:rsid w:val="00C125C4"/>
    <w:rsid w:val="00DA7D4F"/>
    <w:rsid w:val="00EB21D7"/>
    <w:rsid w:val="00EB3EEE"/>
    <w:rsid w:val="00ED26B6"/>
    <w:rsid w:val="00F520ED"/>
    <w:rsid w:val="01161688"/>
    <w:rsid w:val="0121073D"/>
    <w:rsid w:val="01243A76"/>
    <w:rsid w:val="01256189"/>
    <w:rsid w:val="012D03E4"/>
    <w:rsid w:val="013F7BAD"/>
    <w:rsid w:val="0149414E"/>
    <w:rsid w:val="01526B34"/>
    <w:rsid w:val="01585620"/>
    <w:rsid w:val="016D0F66"/>
    <w:rsid w:val="019E074A"/>
    <w:rsid w:val="01A61A00"/>
    <w:rsid w:val="01AC63BF"/>
    <w:rsid w:val="01C04FD7"/>
    <w:rsid w:val="01C21AF7"/>
    <w:rsid w:val="01C72398"/>
    <w:rsid w:val="01C84669"/>
    <w:rsid w:val="01D84F48"/>
    <w:rsid w:val="01D9094E"/>
    <w:rsid w:val="0206386E"/>
    <w:rsid w:val="02072181"/>
    <w:rsid w:val="020C60B9"/>
    <w:rsid w:val="02244D2B"/>
    <w:rsid w:val="02291291"/>
    <w:rsid w:val="022A539C"/>
    <w:rsid w:val="023E6A83"/>
    <w:rsid w:val="024D29CD"/>
    <w:rsid w:val="02503D30"/>
    <w:rsid w:val="02504654"/>
    <w:rsid w:val="025340AC"/>
    <w:rsid w:val="02545A82"/>
    <w:rsid w:val="02555657"/>
    <w:rsid w:val="02600FB3"/>
    <w:rsid w:val="026C223A"/>
    <w:rsid w:val="026E4346"/>
    <w:rsid w:val="0270320F"/>
    <w:rsid w:val="027346AD"/>
    <w:rsid w:val="02760F28"/>
    <w:rsid w:val="02801731"/>
    <w:rsid w:val="02886A91"/>
    <w:rsid w:val="028944C5"/>
    <w:rsid w:val="02926844"/>
    <w:rsid w:val="02931F0E"/>
    <w:rsid w:val="029D1A5B"/>
    <w:rsid w:val="02A479FB"/>
    <w:rsid w:val="02B96C46"/>
    <w:rsid w:val="02BF5F89"/>
    <w:rsid w:val="02C97576"/>
    <w:rsid w:val="02D92C65"/>
    <w:rsid w:val="02DE1A78"/>
    <w:rsid w:val="02EA070F"/>
    <w:rsid w:val="02F76497"/>
    <w:rsid w:val="02FA32F7"/>
    <w:rsid w:val="03225ED4"/>
    <w:rsid w:val="032A0279"/>
    <w:rsid w:val="032B6EC4"/>
    <w:rsid w:val="032E3CDF"/>
    <w:rsid w:val="03410FEB"/>
    <w:rsid w:val="036E5813"/>
    <w:rsid w:val="03705EF6"/>
    <w:rsid w:val="037721EA"/>
    <w:rsid w:val="03792D46"/>
    <w:rsid w:val="038A25F7"/>
    <w:rsid w:val="03A7303D"/>
    <w:rsid w:val="03AC5E37"/>
    <w:rsid w:val="03AD3252"/>
    <w:rsid w:val="03AD4C4C"/>
    <w:rsid w:val="03B53428"/>
    <w:rsid w:val="03C055D4"/>
    <w:rsid w:val="03C230FA"/>
    <w:rsid w:val="03C241C8"/>
    <w:rsid w:val="03C366DE"/>
    <w:rsid w:val="03C4114F"/>
    <w:rsid w:val="03C80783"/>
    <w:rsid w:val="03D07B39"/>
    <w:rsid w:val="03D85ED6"/>
    <w:rsid w:val="03E00C7F"/>
    <w:rsid w:val="03E166FD"/>
    <w:rsid w:val="03F066CE"/>
    <w:rsid w:val="03F77E6B"/>
    <w:rsid w:val="03F81C4D"/>
    <w:rsid w:val="03FC7CC5"/>
    <w:rsid w:val="041B17CF"/>
    <w:rsid w:val="042A120D"/>
    <w:rsid w:val="043A06C3"/>
    <w:rsid w:val="043B08E5"/>
    <w:rsid w:val="0457207A"/>
    <w:rsid w:val="046543D8"/>
    <w:rsid w:val="047238F8"/>
    <w:rsid w:val="0475081E"/>
    <w:rsid w:val="047C7479"/>
    <w:rsid w:val="048A1E75"/>
    <w:rsid w:val="04935F13"/>
    <w:rsid w:val="0494445C"/>
    <w:rsid w:val="04A97EBB"/>
    <w:rsid w:val="04B32550"/>
    <w:rsid w:val="04BC06B2"/>
    <w:rsid w:val="04BE51B3"/>
    <w:rsid w:val="04CB42E2"/>
    <w:rsid w:val="04D849B9"/>
    <w:rsid w:val="04E57AC0"/>
    <w:rsid w:val="04E64752"/>
    <w:rsid w:val="04F1128C"/>
    <w:rsid w:val="053C2AE4"/>
    <w:rsid w:val="05556625"/>
    <w:rsid w:val="05730602"/>
    <w:rsid w:val="05742EC6"/>
    <w:rsid w:val="05890F9E"/>
    <w:rsid w:val="058A538E"/>
    <w:rsid w:val="058F7CC8"/>
    <w:rsid w:val="05954942"/>
    <w:rsid w:val="05A07A5A"/>
    <w:rsid w:val="05AD5DB9"/>
    <w:rsid w:val="05AF450D"/>
    <w:rsid w:val="05D92431"/>
    <w:rsid w:val="05DF0265"/>
    <w:rsid w:val="05E91C26"/>
    <w:rsid w:val="05F93C5A"/>
    <w:rsid w:val="05FD33FA"/>
    <w:rsid w:val="05FE51B6"/>
    <w:rsid w:val="060824E1"/>
    <w:rsid w:val="062003C3"/>
    <w:rsid w:val="0626122C"/>
    <w:rsid w:val="06295DFE"/>
    <w:rsid w:val="062A1518"/>
    <w:rsid w:val="06307856"/>
    <w:rsid w:val="063C5BF4"/>
    <w:rsid w:val="064901ED"/>
    <w:rsid w:val="066237AB"/>
    <w:rsid w:val="06704AA2"/>
    <w:rsid w:val="067E33FB"/>
    <w:rsid w:val="06842CA7"/>
    <w:rsid w:val="069D5905"/>
    <w:rsid w:val="06AB08B3"/>
    <w:rsid w:val="06AB7621"/>
    <w:rsid w:val="06AC5E32"/>
    <w:rsid w:val="06B50944"/>
    <w:rsid w:val="06B5252E"/>
    <w:rsid w:val="06B52FBF"/>
    <w:rsid w:val="06B576C8"/>
    <w:rsid w:val="06BF4964"/>
    <w:rsid w:val="06CF3372"/>
    <w:rsid w:val="06F37A6F"/>
    <w:rsid w:val="06F51833"/>
    <w:rsid w:val="070B4176"/>
    <w:rsid w:val="070F214A"/>
    <w:rsid w:val="072131FF"/>
    <w:rsid w:val="0723725B"/>
    <w:rsid w:val="07293490"/>
    <w:rsid w:val="072B5393"/>
    <w:rsid w:val="07417F38"/>
    <w:rsid w:val="074765D3"/>
    <w:rsid w:val="076A5F57"/>
    <w:rsid w:val="0778631F"/>
    <w:rsid w:val="07787AC5"/>
    <w:rsid w:val="078D5DF2"/>
    <w:rsid w:val="079E6E48"/>
    <w:rsid w:val="07A069D7"/>
    <w:rsid w:val="07A4087C"/>
    <w:rsid w:val="07BE4C2C"/>
    <w:rsid w:val="07CE725D"/>
    <w:rsid w:val="07D115EC"/>
    <w:rsid w:val="07D86871"/>
    <w:rsid w:val="07DA060C"/>
    <w:rsid w:val="07EC12CE"/>
    <w:rsid w:val="08010B8B"/>
    <w:rsid w:val="080610B0"/>
    <w:rsid w:val="08084DC7"/>
    <w:rsid w:val="080A5D14"/>
    <w:rsid w:val="080C45CB"/>
    <w:rsid w:val="08216053"/>
    <w:rsid w:val="082A74C0"/>
    <w:rsid w:val="08403134"/>
    <w:rsid w:val="08440915"/>
    <w:rsid w:val="08584742"/>
    <w:rsid w:val="085D75C2"/>
    <w:rsid w:val="086C697E"/>
    <w:rsid w:val="08777037"/>
    <w:rsid w:val="08836BD0"/>
    <w:rsid w:val="0891753F"/>
    <w:rsid w:val="08A355FA"/>
    <w:rsid w:val="08AD5D8B"/>
    <w:rsid w:val="08CC548D"/>
    <w:rsid w:val="08CE263F"/>
    <w:rsid w:val="08CE2E3E"/>
    <w:rsid w:val="08D03934"/>
    <w:rsid w:val="08E36BC2"/>
    <w:rsid w:val="08EA2644"/>
    <w:rsid w:val="08EA5751"/>
    <w:rsid w:val="08EB239A"/>
    <w:rsid w:val="08FE4494"/>
    <w:rsid w:val="09073553"/>
    <w:rsid w:val="09112BA2"/>
    <w:rsid w:val="09141C8B"/>
    <w:rsid w:val="091615BB"/>
    <w:rsid w:val="091B22FA"/>
    <w:rsid w:val="09223F7B"/>
    <w:rsid w:val="092901AB"/>
    <w:rsid w:val="09547F66"/>
    <w:rsid w:val="09605C95"/>
    <w:rsid w:val="097B0015"/>
    <w:rsid w:val="098F7465"/>
    <w:rsid w:val="09944219"/>
    <w:rsid w:val="099C0C97"/>
    <w:rsid w:val="09A51123"/>
    <w:rsid w:val="09B11206"/>
    <w:rsid w:val="09D43CC5"/>
    <w:rsid w:val="09D86C61"/>
    <w:rsid w:val="09E16AEC"/>
    <w:rsid w:val="09EB4E29"/>
    <w:rsid w:val="0A1026E6"/>
    <w:rsid w:val="0A1365C4"/>
    <w:rsid w:val="0A27015B"/>
    <w:rsid w:val="0A2C3683"/>
    <w:rsid w:val="0A33387E"/>
    <w:rsid w:val="0A3A771A"/>
    <w:rsid w:val="0A3F72E2"/>
    <w:rsid w:val="0A402FCB"/>
    <w:rsid w:val="0A4737A3"/>
    <w:rsid w:val="0A650BB3"/>
    <w:rsid w:val="0A6A3499"/>
    <w:rsid w:val="0A6D0008"/>
    <w:rsid w:val="0A726BC0"/>
    <w:rsid w:val="0A7C2FDA"/>
    <w:rsid w:val="0A960F14"/>
    <w:rsid w:val="0AA82809"/>
    <w:rsid w:val="0AAD78B0"/>
    <w:rsid w:val="0AB14080"/>
    <w:rsid w:val="0AB2599A"/>
    <w:rsid w:val="0AEC3CC4"/>
    <w:rsid w:val="0AF84752"/>
    <w:rsid w:val="0AF86AD6"/>
    <w:rsid w:val="0B0F48D9"/>
    <w:rsid w:val="0B1B7534"/>
    <w:rsid w:val="0B1D57A3"/>
    <w:rsid w:val="0B34452A"/>
    <w:rsid w:val="0B3744F4"/>
    <w:rsid w:val="0B3D37D2"/>
    <w:rsid w:val="0B41565E"/>
    <w:rsid w:val="0B4C334B"/>
    <w:rsid w:val="0B4C7BB6"/>
    <w:rsid w:val="0B633415"/>
    <w:rsid w:val="0B633A49"/>
    <w:rsid w:val="0B683954"/>
    <w:rsid w:val="0B69264B"/>
    <w:rsid w:val="0B7756D2"/>
    <w:rsid w:val="0B7D7311"/>
    <w:rsid w:val="0B8D7432"/>
    <w:rsid w:val="0B9223B2"/>
    <w:rsid w:val="0BA23811"/>
    <w:rsid w:val="0BA44261"/>
    <w:rsid w:val="0BA95BAC"/>
    <w:rsid w:val="0BAE6299"/>
    <w:rsid w:val="0BC62CBC"/>
    <w:rsid w:val="0BCB123B"/>
    <w:rsid w:val="0BE14C77"/>
    <w:rsid w:val="0BE15604"/>
    <w:rsid w:val="0C0242CC"/>
    <w:rsid w:val="0C134E7C"/>
    <w:rsid w:val="0C1E7C1D"/>
    <w:rsid w:val="0C2116B1"/>
    <w:rsid w:val="0C22306D"/>
    <w:rsid w:val="0C360B29"/>
    <w:rsid w:val="0C3E2E27"/>
    <w:rsid w:val="0C416898"/>
    <w:rsid w:val="0C591A90"/>
    <w:rsid w:val="0C5A38F6"/>
    <w:rsid w:val="0C6019BC"/>
    <w:rsid w:val="0C6B0DD2"/>
    <w:rsid w:val="0C6D056A"/>
    <w:rsid w:val="0C7A4281"/>
    <w:rsid w:val="0C8C51DD"/>
    <w:rsid w:val="0C93687A"/>
    <w:rsid w:val="0C983030"/>
    <w:rsid w:val="0CA01E7A"/>
    <w:rsid w:val="0CA84DE1"/>
    <w:rsid w:val="0CD96CD2"/>
    <w:rsid w:val="0CE206FF"/>
    <w:rsid w:val="0CE34579"/>
    <w:rsid w:val="0CFD639C"/>
    <w:rsid w:val="0D0B3A96"/>
    <w:rsid w:val="0D1211D4"/>
    <w:rsid w:val="0D1A4178"/>
    <w:rsid w:val="0D1C7D1F"/>
    <w:rsid w:val="0D1D461F"/>
    <w:rsid w:val="0D225F84"/>
    <w:rsid w:val="0D3447E2"/>
    <w:rsid w:val="0D3760C1"/>
    <w:rsid w:val="0D3E7E89"/>
    <w:rsid w:val="0D497911"/>
    <w:rsid w:val="0D5465FC"/>
    <w:rsid w:val="0D656C19"/>
    <w:rsid w:val="0D7E1E5A"/>
    <w:rsid w:val="0DA333E1"/>
    <w:rsid w:val="0DAB6479"/>
    <w:rsid w:val="0DC02384"/>
    <w:rsid w:val="0DCA64E2"/>
    <w:rsid w:val="0DCC4A7C"/>
    <w:rsid w:val="0DCD35DC"/>
    <w:rsid w:val="0DDC01B8"/>
    <w:rsid w:val="0DEA2299"/>
    <w:rsid w:val="0DF13BD7"/>
    <w:rsid w:val="0DF9771D"/>
    <w:rsid w:val="0E0013EF"/>
    <w:rsid w:val="0E082052"/>
    <w:rsid w:val="0E0C604D"/>
    <w:rsid w:val="0E125451"/>
    <w:rsid w:val="0E2C30FF"/>
    <w:rsid w:val="0E3A311D"/>
    <w:rsid w:val="0E5C38A5"/>
    <w:rsid w:val="0E6B2CB9"/>
    <w:rsid w:val="0E8545B5"/>
    <w:rsid w:val="0E8C20EB"/>
    <w:rsid w:val="0E9448C8"/>
    <w:rsid w:val="0E9B47B0"/>
    <w:rsid w:val="0EA57054"/>
    <w:rsid w:val="0EA84302"/>
    <w:rsid w:val="0EA85280"/>
    <w:rsid w:val="0EB523B1"/>
    <w:rsid w:val="0EB74C97"/>
    <w:rsid w:val="0EBF148A"/>
    <w:rsid w:val="0EC544AE"/>
    <w:rsid w:val="0ECD7012"/>
    <w:rsid w:val="0EF820C6"/>
    <w:rsid w:val="0F025492"/>
    <w:rsid w:val="0F043365"/>
    <w:rsid w:val="0F063F6E"/>
    <w:rsid w:val="0F0C67DB"/>
    <w:rsid w:val="0F1D7450"/>
    <w:rsid w:val="0F251F96"/>
    <w:rsid w:val="0F2B61CC"/>
    <w:rsid w:val="0F4E1CE6"/>
    <w:rsid w:val="0F533AFD"/>
    <w:rsid w:val="0F5F3780"/>
    <w:rsid w:val="0F637AD6"/>
    <w:rsid w:val="0F7B6853"/>
    <w:rsid w:val="0F863713"/>
    <w:rsid w:val="0F872005"/>
    <w:rsid w:val="0F8B67FE"/>
    <w:rsid w:val="0F95146F"/>
    <w:rsid w:val="0FAD371C"/>
    <w:rsid w:val="0FB215E0"/>
    <w:rsid w:val="0FB36D87"/>
    <w:rsid w:val="0FB65EE8"/>
    <w:rsid w:val="0FC30926"/>
    <w:rsid w:val="0FD14588"/>
    <w:rsid w:val="0FD916B2"/>
    <w:rsid w:val="0FD9350F"/>
    <w:rsid w:val="0FE35126"/>
    <w:rsid w:val="10030D22"/>
    <w:rsid w:val="101013D9"/>
    <w:rsid w:val="103C4229"/>
    <w:rsid w:val="103D1CA0"/>
    <w:rsid w:val="10412D15"/>
    <w:rsid w:val="10472B1C"/>
    <w:rsid w:val="1048327D"/>
    <w:rsid w:val="10487469"/>
    <w:rsid w:val="104D24FF"/>
    <w:rsid w:val="10611D0D"/>
    <w:rsid w:val="106F186E"/>
    <w:rsid w:val="106F69DB"/>
    <w:rsid w:val="10737A03"/>
    <w:rsid w:val="108429C2"/>
    <w:rsid w:val="109517D5"/>
    <w:rsid w:val="109C27F4"/>
    <w:rsid w:val="10A11C30"/>
    <w:rsid w:val="10A454E2"/>
    <w:rsid w:val="10A62185"/>
    <w:rsid w:val="10B51ED1"/>
    <w:rsid w:val="10BF0BFA"/>
    <w:rsid w:val="10C65AC4"/>
    <w:rsid w:val="10CE77DA"/>
    <w:rsid w:val="10E32CE2"/>
    <w:rsid w:val="10FB2C2C"/>
    <w:rsid w:val="11032084"/>
    <w:rsid w:val="11040C7B"/>
    <w:rsid w:val="111520AA"/>
    <w:rsid w:val="111F7887"/>
    <w:rsid w:val="112C59CB"/>
    <w:rsid w:val="113D0A9F"/>
    <w:rsid w:val="115040BF"/>
    <w:rsid w:val="115563A0"/>
    <w:rsid w:val="11584079"/>
    <w:rsid w:val="11591AEC"/>
    <w:rsid w:val="115C7A3E"/>
    <w:rsid w:val="116770F0"/>
    <w:rsid w:val="11732C32"/>
    <w:rsid w:val="11784A96"/>
    <w:rsid w:val="117D0357"/>
    <w:rsid w:val="11822185"/>
    <w:rsid w:val="118E5635"/>
    <w:rsid w:val="11900344"/>
    <w:rsid w:val="11936840"/>
    <w:rsid w:val="119B4F8B"/>
    <w:rsid w:val="11A01CB0"/>
    <w:rsid w:val="11A2510D"/>
    <w:rsid w:val="11AE6B6B"/>
    <w:rsid w:val="11DB122E"/>
    <w:rsid w:val="11E626AA"/>
    <w:rsid w:val="11E64CC6"/>
    <w:rsid w:val="11ED3720"/>
    <w:rsid w:val="12024FEA"/>
    <w:rsid w:val="12025B8E"/>
    <w:rsid w:val="12273A69"/>
    <w:rsid w:val="12417010"/>
    <w:rsid w:val="12491CD8"/>
    <w:rsid w:val="125706E0"/>
    <w:rsid w:val="12574F95"/>
    <w:rsid w:val="125E7697"/>
    <w:rsid w:val="12697E73"/>
    <w:rsid w:val="126D737F"/>
    <w:rsid w:val="12711EC3"/>
    <w:rsid w:val="12730A95"/>
    <w:rsid w:val="12767444"/>
    <w:rsid w:val="128350BF"/>
    <w:rsid w:val="129C3880"/>
    <w:rsid w:val="12B21FF9"/>
    <w:rsid w:val="12D83122"/>
    <w:rsid w:val="12D86417"/>
    <w:rsid w:val="12E501D6"/>
    <w:rsid w:val="131546FB"/>
    <w:rsid w:val="13306A67"/>
    <w:rsid w:val="1332243F"/>
    <w:rsid w:val="13370839"/>
    <w:rsid w:val="133767CF"/>
    <w:rsid w:val="134E1027"/>
    <w:rsid w:val="135D150E"/>
    <w:rsid w:val="135D31C8"/>
    <w:rsid w:val="136F2144"/>
    <w:rsid w:val="138006C4"/>
    <w:rsid w:val="13804053"/>
    <w:rsid w:val="13BB2BF0"/>
    <w:rsid w:val="13BE59BA"/>
    <w:rsid w:val="13C0517C"/>
    <w:rsid w:val="13C1430F"/>
    <w:rsid w:val="13C72DE5"/>
    <w:rsid w:val="13C8607F"/>
    <w:rsid w:val="13CC58CF"/>
    <w:rsid w:val="13CD2670"/>
    <w:rsid w:val="13CF210A"/>
    <w:rsid w:val="13D71E33"/>
    <w:rsid w:val="13DD48B1"/>
    <w:rsid w:val="13E64D3B"/>
    <w:rsid w:val="141334FE"/>
    <w:rsid w:val="1414611F"/>
    <w:rsid w:val="141C059C"/>
    <w:rsid w:val="142258B0"/>
    <w:rsid w:val="1434580C"/>
    <w:rsid w:val="1438100F"/>
    <w:rsid w:val="14540F13"/>
    <w:rsid w:val="14550865"/>
    <w:rsid w:val="14575F6E"/>
    <w:rsid w:val="14605EA7"/>
    <w:rsid w:val="14790AB2"/>
    <w:rsid w:val="14793647"/>
    <w:rsid w:val="147A280F"/>
    <w:rsid w:val="14804E33"/>
    <w:rsid w:val="148750C9"/>
    <w:rsid w:val="14A25F93"/>
    <w:rsid w:val="14A30F80"/>
    <w:rsid w:val="14B20BE5"/>
    <w:rsid w:val="14B27A6B"/>
    <w:rsid w:val="14BA0968"/>
    <w:rsid w:val="14C73C6E"/>
    <w:rsid w:val="14C75624"/>
    <w:rsid w:val="14CC33FE"/>
    <w:rsid w:val="14F44EC6"/>
    <w:rsid w:val="14FE7D0A"/>
    <w:rsid w:val="1509147E"/>
    <w:rsid w:val="150E1A1D"/>
    <w:rsid w:val="15103735"/>
    <w:rsid w:val="151337C0"/>
    <w:rsid w:val="15164161"/>
    <w:rsid w:val="151B22C8"/>
    <w:rsid w:val="151F3CF0"/>
    <w:rsid w:val="152277D9"/>
    <w:rsid w:val="1523709F"/>
    <w:rsid w:val="152A116D"/>
    <w:rsid w:val="15326F05"/>
    <w:rsid w:val="1542409B"/>
    <w:rsid w:val="15554AF0"/>
    <w:rsid w:val="15561F75"/>
    <w:rsid w:val="15621DFE"/>
    <w:rsid w:val="156D710B"/>
    <w:rsid w:val="157C49A6"/>
    <w:rsid w:val="15802924"/>
    <w:rsid w:val="158D5971"/>
    <w:rsid w:val="15AB6DC0"/>
    <w:rsid w:val="15B13177"/>
    <w:rsid w:val="15B500F4"/>
    <w:rsid w:val="15BD4BE1"/>
    <w:rsid w:val="15D940D4"/>
    <w:rsid w:val="15D95171"/>
    <w:rsid w:val="15F01B6D"/>
    <w:rsid w:val="1605074A"/>
    <w:rsid w:val="16052ECF"/>
    <w:rsid w:val="1605410A"/>
    <w:rsid w:val="16071810"/>
    <w:rsid w:val="16093CBD"/>
    <w:rsid w:val="160D47E4"/>
    <w:rsid w:val="161755D9"/>
    <w:rsid w:val="161B1B8C"/>
    <w:rsid w:val="163946CB"/>
    <w:rsid w:val="163D039B"/>
    <w:rsid w:val="163E6737"/>
    <w:rsid w:val="16453605"/>
    <w:rsid w:val="164A6EFC"/>
    <w:rsid w:val="16551E76"/>
    <w:rsid w:val="16680F7C"/>
    <w:rsid w:val="166B18B5"/>
    <w:rsid w:val="166D1F2B"/>
    <w:rsid w:val="1683496B"/>
    <w:rsid w:val="16881393"/>
    <w:rsid w:val="168B180B"/>
    <w:rsid w:val="169932F0"/>
    <w:rsid w:val="169C77DB"/>
    <w:rsid w:val="169E2AE5"/>
    <w:rsid w:val="169F0C6C"/>
    <w:rsid w:val="16A9091E"/>
    <w:rsid w:val="16B07DF7"/>
    <w:rsid w:val="16C5163D"/>
    <w:rsid w:val="16D41B81"/>
    <w:rsid w:val="16DC0E50"/>
    <w:rsid w:val="16E67648"/>
    <w:rsid w:val="16E81938"/>
    <w:rsid w:val="16EF4AE9"/>
    <w:rsid w:val="17137A12"/>
    <w:rsid w:val="171463C9"/>
    <w:rsid w:val="17164659"/>
    <w:rsid w:val="17245FE9"/>
    <w:rsid w:val="173721CA"/>
    <w:rsid w:val="17400F6F"/>
    <w:rsid w:val="174D2FEF"/>
    <w:rsid w:val="17667DE9"/>
    <w:rsid w:val="17676308"/>
    <w:rsid w:val="17697984"/>
    <w:rsid w:val="176A374D"/>
    <w:rsid w:val="177008B7"/>
    <w:rsid w:val="17752B65"/>
    <w:rsid w:val="178B2E8F"/>
    <w:rsid w:val="179629CA"/>
    <w:rsid w:val="17A10DCA"/>
    <w:rsid w:val="17AA60BA"/>
    <w:rsid w:val="17AB4B89"/>
    <w:rsid w:val="17B31280"/>
    <w:rsid w:val="17C101CD"/>
    <w:rsid w:val="17C6385E"/>
    <w:rsid w:val="17CD6C27"/>
    <w:rsid w:val="17D4324D"/>
    <w:rsid w:val="17FF5053"/>
    <w:rsid w:val="180113D9"/>
    <w:rsid w:val="181438DB"/>
    <w:rsid w:val="181547BE"/>
    <w:rsid w:val="1818245C"/>
    <w:rsid w:val="18330494"/>
    <w:rsid w:val="18351999"/>
    <w:rsid w:val="18383FD9"/>
    <w:rsid w:val="18415AB9"/>
    <w:rsid w:val="184F59FE"/>
    <w:rsid w:val="18531CED"/>
    <w:rsid w:val="185A269B"/>
    <w:rsid w:val="185B63CD"/>
    <w:rsid w:val="18721598"/>
    <w:rsid w:val="187865A1"/>
    <w:rsid w:val="18814EDA"/>
    <w:rsid w:val="18864610"/>
    <w:rsid w:val="188B0D80"/>
    <w:rsid w:val="18972BFB"/>
    <w:rsid w:val="189A4B74"/>
    <w:rsid w:val="18A014EE"/>
    <w:rsid w:val="18A768A2"/>
    <w:rsid w:val="18AA0029"/>
    <w:rsid w:val="18B71E99"/>
    <w:rsid w:val="18C557F5"/>
    <w:rsid w:val="18CC14DA"/>
    <w:rsid w:val="18D219BE"/>
    <w:rsid w:val="18D33ABD"/>
    <w:rsid w:val="18E54898"/>
    <w:rsid w:val="18EC10A9"/>
    <w:rsid w:val="1912250D"/>
    <w:rsid w:val="19192FC7"/>
    <w:rsid w:val="19197285"/>
    <w:rsid w:val="191C46E5"/>
    <w:rsid w:val="192273F9"/>
    <w:rsid w:val="195B3437"/>
    <w:rsid w:val="19700F43"/>
    <w:rsid w:val="19703666"/>
    <w:rsid w:val="198A1CAD"/>
    <w:rsid w:val="199D1F8D"/>
    <w:rsid w:val="19A2094F"/>
    <w:rsid w:val="19A71260"/>
    <w:rsid w:val="19AF5071"/>
    <w:rsid w:val="19C728D8"/>
    <w:rsid w:val="19F545FC"/>
    <w:rsid w:val="19FF1BE0"/>
    <w:rsid w:val="1A063614"/>
    <w:rsid w:val="1A0A53A3"/>
    <w:rsid w:val="1A113009"/>
    <w:rsid w:val="1A2A7D50"/>
    <w:rsid w:val="1A710D5C"/>
    <w:rsid w:val="1A753709"/>
    <w:rsid w:val="1A7B3BAB"/>
    <w:rsid w:val="1A817F89"/>
    <w:rsid w:val="1A836772"/>
    <w:rsid w:val="1A862B71"/>
    <w:rsid w:val="1A867DB9"/>
    <w:rsid w:val="1A953FAC"/>
    <w:rsid w:val="1ABC044C"/>
    <w:rsid w:val="1ACB22EA"/>
    <w:rsid w:val="1AD46823"/>
    <w:rsid w:val="1AE92CAB"/>
    <w:rsid w:val="1AF4399B"/>
    <w:rsid w:val="1AFC614B"/>
    <w:rsid w:val="1B1B75C1"/>
    <w:rsid w:val="1B24664D"/>
    <w:rsid w:val="1B2641BE"/>
    <w:rsid w:val="1B2D14DD"/>
    <w:rsid w:val="1B303AE4"/>
    <w:rsid w:val="1B362EDC"/>
    <w:rsid w:val="1B595385"/>
    <w:rsid w:val="1B664248"/>
    <w:rsid w:val="1B672BA3"/>
    <w:rsid w:val="1B756DE9"/>
    <w:rsid w:val="1B813443"/>
    <w:rsid w:val="1B89519B"/>
    <w:rsid w:val="1B8C5703"/>
    <w:rsid w:val="1B8E5B1E"/>
    <w:rsid w:val="1B986381"/>
    <w:rsid w:val="1B9D3F16"/>
    <w:rsid w:val="1BAA4677"/>
    <w:rsid w:val="1BBB1511"/>
    <w:rsid w:val="1BC94174"/>
    <w:rsid w:val="1BD8792E"/>
    <w:rsid w:val="1BE14181"/>
    <w:rsid w:val="1BE776CC"/>
    <w:rsid w:val="1C242B5D"/>
    <w:rsid w:val="1C2C0FBD"/>
    <w:rsid w:val="1C3210E2"/>
    <w:rsid w:val="1C850D11"/>
    <w:rsid w:val="1C897A5B"/>
    <w:rsid w:val="1C98769A"/>
    <w:rsid w:val="1CA408F7"/>
    <w:rsid w:val="1CAE64BA"/>
    <w:rsid w:val="1CB81B7D"/>
    <w:rsid w:val="1CC13D8C"/>
    <w:rsid w:val="1CD64901"/>
    <w:rsid w:val="1CEA5642"/>
    <w:rsid w:val="1CEE3FDE"/>
    <w:rsid w:val="1CF2284B"/>
    <w:rsid w:val="1CFC46FA"/>
    <w:rsid w:val="1CFD149F"/>
    <w:rsid w:val="1D060F80"/>
    <w:rsid w:val="1D0919FB"/>
    <w:rsid w:val="1D0A6597"/>
    <w:rsid w:val="1D0A6FFD"/>
    <w:rsid w:val="1D1570AA"/>
    <w:rsid w:val="1D172499"/>
    <w:rsid w:val="1D251483"/>
    <w:rsid w:val="1D2D2B79"/>
    <w:rsid w:val="1D2F75FB"/>
    <w:rsid w:val="1D457B55"/>
    <w:rsid w:val="1D47018A"/>
    <w:rsid w:val="1D4758B0"/>
    <w:rsid w:val="1D523304"/>
    <w:rsid w:val="1D5F274D"/>
    <w:rsid w:val="1D741E7E"/>
    <w:rsid w:val="1D815527"/>
    <w:rsid w:val="1D9A5FD7"/>
    <w:rsid w:val="1DA31DEF"/>
    <w:rsid w:val="1DA61090"/>
    <w:rsid w:val="1DB32D97"/>
    <w:rsid w:val="1DB6103C"/>
    <w:rsid w:val="1DBA29F9"/>
    <w:rsid w:val="1DC15D79"/>
    <w:rsid w:val="1DC53ABB"/>
    <w:rsid w:val="1DC93412"/>
    <w:rsid w:val="1DCB6BF8"/>
    <w:rsid w:val="1DD5023E"/>
    <w:rsid w:val="1DDB6089"/>
    <w:rsid w:val="1DDC2509"/>
    <w:rsid w:val="1DE159D3"/>
    <w:rsid w:val="1DF31440"/>
    <w:rsid w:val="1E08471B"/>
    <w:rsid w:val="1E11559C"/>
    <w:rsid w:val="1E125E2E"/>
    <w:rsid w:val="1E377F98"/>
    <w:rsid w:val="1E52115F"/>
    <w:rsid w:val="1E526053"/>
    <w:rsid w:val="1E546BED"/>
    <w:rsid w:val="1E5D1B7C"/>
    <w:rsid w:val="1E68324B"/>
    <w:rsid w:val="1E8A6A63"/>
    <w:rsid w:val="1E8C7EF8"/>
    <w:rsid w:val="1E8D6102"/>
    <w:rsid w:val="1EA13AB9"/>
    <w:rsid w:val="1EA963F2"/>
    <w:rsid w:val="1EC34FC0"/>
    <w:rsid w:val="1EC42B97"/>
    <w:rsid w:val="1EC65366"/>
    <w:rsid w:val="1ED2001A"/>
    <w:rsid w:val="1EE250F4"/>
    <w:rsid w:val="1EFA3D00"/>
    <w:rsid w:val="1F1B7CCD"/>
    <w:rsid w:val="1F1C0B87"/>
    <w:rsid w:val="1F2C1E3D"/>
    <w:rsid w:val="1F3A08C4"/>
    <w:rsid w:val="1F3F60B7"/>
    <w:rsid w:val="1F4F014F"/>
    <w:rsid w:val="1F5275D0"/>
    <w:rsid w:val="1F5C7108"/>
    <w:rsid w:val="1F6C722F"/>
    <w:rsid w:val="1F830404"/>
    <w:rsid w:val="1F8A1D14"/>
    <w:rsid w:val="1F8E0913"/>
    <w:rsid w:val="1F956B0B"/>
    <w:rsid w:val="1F9E1131"/>
    <w:rsid w:val="1FA90F48"/>
    <w:rsid w:val="1FBA4276"/>
    <w:rsid w:val="1FBB546C"/>
    <w:rsid w:val="1FBD2FAF"/>
    <w:rsid w:val="1FCA756D"/>
    <w:rsid w:val="1FCD4C9F"/>
    <w:rsid w:val="1FCE1479"/>
    <w:rsid w:val="1FD54A9B"/>
    <w:rsid w:val="1FE731D6"/>
    <w:rsid w:val="1FF038A5"/>
    <w:rsid w:val="1FF06DCF"/>
    <w:rsid w:val="1FF937B7"/>
    <w:rsid w:val="20133801"/>
    <w:rsid w:val="201B666E"/>
    <w:rsid w:val="202048F9"/>
    <w:rsid w:val="202706C4"/>
    <w:rsid w:val="203A60D1"/>
    <w:rsid w:val="204C5444"/>
    <w:rsid w:val="205C5F7C"/>
    <w:rsid w:val="20681472"/>
    <w:rsid w:val="20691BB6"/>
    <w:rsid w:val="20727E2E"/>
    <w:rsid w:val="2078418D"/>
    <w:rsid w:val="20867216"/>
    <w:rsid w:val="20867466"/>
    <w:rsid w:val="208C1BAF"/>
    <w:rsid w:val="208D6DA3"/>
    <w:rsid w:val="20D503BD"/>
    <w:rsid w:val="20EB5CF5"/>
    <w:rsid w:val="20ED2ED4"/>
    <w:rsid w:val="21027465"/>
    <w:rsid w:val="210D2DB2"/>
    <w:rsid w:val="213468EC"/>
    <w:rsid w:val="21395F58"/>
    <w:rsid w:val="2148492C"/>
    <w:rsid w:val="215018EE"/>
    <w:rsid w:val="21522FB4"/>
    <w:rsid w:val="215C0403"/>
    <w:rsid w:val="21773496"/>
    <w:rsid w:val="21902F67"/>
    <w:rsid w:val="219B4708"/>
    <w:rsid w:val="21A06FEE"/>
    <w:rsid w:val="21B020D9"/>
    <w:rsid w:val="21CC1A67"/>
    <w:rsid w:val="21CF6C35"/>
    <w:rsid w:val="21FB57A0"/>
    <w:rsid w:val="21FE01EB"/>
    <w:rsid w:val="2205553E"/>
    <w:rsid w:val="220F6353"/>
    <w:rsid w:val="22107BF3"/>
    <w:rsid w:val="22177FF9"/>
    <w:rsid w:val="222C3B38"/>
    <w:rsid w:val="223319AD"/>
    <w:rsid w:val="224A6990"/>
    <w:rsid w:val="224F59DD"/>
    <w:rsid w:val="224F7DF7"/>
    <w:rsid w:val="226D387D"/>
    <w:rsid w:val="22741342"/>
    <w:rsid w:val="22874789"/>
    <w:rsid w:val="22910ED7"/>
    <w:rsid w:val="229B358B"/>
    <w:rsid w:val="22A32999"/>
    <w:rsid w:val="22AB53DE"/>
    <w:rsid w:val="22AF316E"/>
    <w:rsid w:val="22B93D87"/>
    <w:rsid w:val="22CC65AA"/>
    <w:rsid w:val="22D56DCC"/>
    <w:rsid w:val="22D74497"/>
    <w:rsid w:val="22E51A26"/>
    <w:rsid w:val="22E670F3"/>
    <w:rsid w:val="22FA06B7"/>
    <w:rsid w:val="22FC117A"/>
    <w:rsid w:val="230000AA"/>
    <w:rsid w:val="23010EDD"/>
    <w:rsid w:val="2302409F"/>
    <w:rsid w:val="231305F5"/>
    <w:rsid w:val="231307CC"/>
    <w:rsid w:val="231F27E0"/>
    <w:rsid w:val="232A5638"/>
    <w:rsid w:val="233473AF"/>
    <w:rsid w:val="233609D5"/>
    <w:rsid w:val="234551CB"/>
    <w:rsid w:val="23525F66"/>
    <w:rsid w:val="235A15D2"/>
    <w:rsid w:val="236120EF"/>
    <w:rsid w:val="236D2336"/>
    <w:rsid w:val="2377547C"/>
    <w:rsid w:val="239A19E1"/>
    <w:rsid w:val="23A650F2"/>
    <w:rsid w:val="23A76FB5"/>
    <w:rsid w:val="23B414A9"/>
    <w:rsid w:val="23BF2B98"/>
    <w:rsid w:val="23BF5684"/>
    <w:rsid w:val="23C353F1"/>
    <w:rsid w:val="23C934E6"/>
    <w:rsid w:val="23CB23CB"/>
    <w:rsid w:val="23D5441A"/>
    <w:rsid w:val="23EC3B4C"/>
    <w:rsid w:val="23EC542F"/>
    <w:rsid w:val="23F5719B"/>
    <w:rsid w:val="23F852CA"/>
    <w:rsid w:val="23FC1260"/>
    <w:rsid w:val="23FD145D"/>
    <w:rsid w:val="24077796"/>
    <w:rsid w:val="24104F9A"/>
    <w:rsid w:val="24147BD0"/>
    <w:rsid w:val="243665C0"/>
    <w:rsid w:val="24391BEE"/>
    <w:rsid w:val="244174E2"/>
    <w:rsid w:val="24437CCD"/>
    <w:rsid w:val="244658A8"/>
    <w:rsid w:val="24477EF7"/>
    <w:rsid w:val="245D4879"/>
    <w:rsid w:val="246F00E5"/>
    <w:rsid w:val="24800D76"/>
    <w:rsid w:val="24890A29"/>
    <w:rsid w:val="24892323"/>
    <w:rsid w:val="24931BE9"/>
    <w:rsid w:val="24C30ABC"/>
    <w:rsid w:val="24C7597A"/>
    <w:rsid w:val="24CF5181"/>
    <w:rsid w:val="24DC09DF"/>
    <w:rsid w:val="24F56239"/>
    <w:rsid w:val="24FE1BA1"/>
    <w:rsid w:val="25064180"/>
    <w:rsid w:val="25071727"/>
    <w:rsid w:val="250D41A8"/>
    <w:rsid w:val="250D7854"/>
    <w:rsid w:val="251D323D"/>
    <w:rsid w:val="251E15DA"/>
    <w:rsid w:val="253B18AE"/>
    <w:rsid w:val="25627B73"/>
    <w:rsid w:val="256E35A9"/>
    <w:rsid w:val="256F31FB"/>
    <w:rsid w:val="25724824"/>
    <w:rsid w:val="257E0647"/>
    <w:rsid w:val="257F2DAB"/>
    <w:rsid w:val="25866ECF"/>
    <w:rsid w:val="258A24EA"/>
    <w:rsid w:val="25AC0E47"/>
    <w:rsid w:val="25D028E9"/>
    <w:rsid w:val="26010F3D"/>
    <w:rsid w:val="26071505"/>
    <w:rsid w:val="261540FE"/>
    <w:rsid w:val="26167454"/>
    <w:rsid w:val="262533C3"/>
    <w:rsid w:val="262C1DCB"/>
    <w:rsid w:val="264530BC"/>
    <w:rsid w:val="264B2FCC"/>
    <w:rsid w:val="267037F2"/>
    <w:rsid w:val="26732804"/>
    <w:rsid w:val="267B627C"/>
    <w:rsid w:val="2694630F"/>
    <w:rsid w:val="269A1E55"/>
    <w:rsid w:val="269C79F5"/>
    <w:rsid w:val="26B05A9F"/>
    <w:rsid w:val="26B44B3E"/>
    <w:rsid w:val="26D07E63"/>
    <w:rsid w:val="26DC0B92"/>
    <w:rsid w:val="26DC7107"/>
    <w:rsid w:val="26EB7203"/>
    <w:rsid w:val="26EF375D"/>
    <w:rsid w:val="26FB1CF2"/>
    <w:rsid w:val="2710281D"/>
    <w:rsid w:val="27141FA9"/>
    <w:rsid w:val="2718768F"/>
    <w:rsid w:val="27195CBA"/>
    <w:rsid w:val="271A2C3E"/>
    <w:rsid w:val="27303F49"/>
    <w:rsid w:val="27476E01"/>
    <w:rsid w:val="274A3812"/>
    <w:rsid w:val="274C6FFB"/>
    <w:rsid w:val="274F5081"/>
    <w:rsid w:val="275614C7"/>
    <w:rsid w:val="275F5FB9"/>
    <w:rsid w:val="277C5801"/>
    <w:rsid w:val="277D771F"/>
    <w:rsid w:val="27960276"/>
    <w:rsid w:val="27A5248A"/>
    <w:rsid w:val="27A92902"/>
    <w:rsid w:val="27C223F1"/>
    <w:rsid w:val="27CE0E1F"/>
    <w:rsid w:val="27DB0648"/>
    <w:rsid w:val="27EA2950"/>
    <w:rsid w:val="27FB4BB8"/>
    <w:rsid w:val="280B6C4D"/>
    <w:rsid w:val="2816068D"/>
    <w:rsid w:val="282E04AF"/>
    <w:rsid w:val="283616D4"/>
    <w:rsid w:val="283F2402"/>
    <w:rsid w:val="284E54A9"/>
    <w:rsid w:val="287C121A"/>
    <w:rsid w:val="288669B2"/>
    <w:rsid w:val="289C1C52"/>
    <w:rsid w:val="28B34586"/>
    <w:rsid w:val="28B76431"/>
    <w:rsid w:val="28BC06DA"/>
    <w:rsid w:val="28C172A7"/>
    <w:rsid w:val="28CF786F"/>
    <w:rsid w:val="28F0258C"/>
    <w:rsid w:val="29180917"/>
    <w:rsid w:val="292261CD"/>
    <w:rsid w:val="29236BAE"/>
    <w:rsid w:val="292C2115"/>
    <w:rsid w:val="29322A6A"/>
    <w:rsid w:val="293758DE"/>
    <w:rsid w:val="293D641D"/>
    <w:rsid w:val="294A7CED"/>
    <w:rsid w:val="294F3464"/>
    <w:rsid w:val="29650141"/>
    <w:rsid w:val="296D560D"/>
    <w:rsid w:val="297268B4"/>
    <w:rsid w:val="2974423E"/>
    <w:rsid w:val="298E56A9"/>
    <w:rsid w:val="29904112"/>
    <w:rsid w:val="29905CF3"/>
    <w:rsid w:val="29C817E0"/>
    <w:rsid w:val="29DA2788"/>
    <w:rsid w:val="29E30E83"/>
    <w:rsid w:val="29E873C7"/>
    <w:rsid w:val="29EC6AF2"/>
    <w:rsid w:val="2A006F15"/>
    <w:rsid w:val="2A1D604E"/>
    <w:rsid w:val="2A1E18DF"/>
    <w:rsid w:val="2A1F3BC7"/>
    <w:rsid w:val="2A231DA1"/>
    <w:rsid w:val="2A261853"/>
    <w:rsid w:val="2A4428AE"/>
    <w:rsid w:val="2A447AFE"/>
    <w:rsid w:val="2A555098"/>
    <w:rsid w:val="2A580AEF"/>
    <w:rsid w:val="2A625E4E"/>
    <w:rsid w:val="2A696FC4"/>
    <w:rsid w:val="2A7B3741"/>
    <w:rsid w:val="2A8B0537"/>
    <w:rsid w:val="2A8D2FF8"/>
    <w:rsid w:val="2A955A1C"/>
    <w:rsid w:val="2AA56E6E"/>
    <w:rsid w:val="2AC17F3E"/>
    <w:rsid w:val="2AC20D59"/>
    <w:rsid w:val="2AC3222B"/>
    <w:rsid w:val="2AC9345A"/>
    <w:rsid w:val="2AD35A00"/>
    <w:rsid w:val="2ADC6C0A"/>
    <w:rsid w:val="2AE572C6"/>
    <w:rsid w:val="2AED180B"/>
    <w:rsid w:val="2AF673CE"/>
    <w:rsid w:val="2B0674C1"/>
    <w:rsid w:val="2B120BAC"/>
    <w:rsid w:val="2B1E6ED2"/>
    <w:rsid w:val="2B212D73"/>
    <w:rsid w:val="2B2805C5"/>
    <w:rsid w:val="2B2C0798"/>
    <w:rsid w:val="2B2F6A18"/>
    <w:rsid w:val="2B340EC9"/>
    <w:rsid w:val="2B3E1A6E"/>
    <w:rsid w:val="2B426EC6"/>
    <w:rsid w:val="2B6048A4"/>
    <w:rsid w:val="2B6E7DDA"/>
    <w:rsid w:val="2B7076D9"/>
    <w:rsid w:val="2B822FEC"/>
    <w:rsid w:val="2B867F86"/>
    <w:rsid w:val="2B870DF8"/>
    <w:rsid w:val="2B913D1F"/>
    <w:rsid w:val="2B9B4139"/>
    <w:rsid w:val="2BA2033D"/>
    <w:rsid w:val="2BA7753E"/>
    <w:rsid w:val="2BB25766"/>
    <w:rsid w:val="2BC0509E"/>
    <w:rsid w:val="2BC33453"/>
    <w:rsid w:val="2BC94735"/>
    <w:rsid w:val="2BCF2A55"/>
    <w:rsid w:val="2BD5463A"/>
    <w:rsid w:val="2BE46A3F"/>
    <w:rsid w:val="2BF06388"/>
    <w:rsid w:val="2C0D481F"/>
    <w:rsid w:val="2C10305F"/>
    <w:rsid w:val="2C167FED"/>
    <w:rsid w:val="2C276859"/>
    <w:rsid w:val="2C3016BF"/>
    <w:rsid w:val="2C323F3C"/>
    <w:rsid w:val="2C351BFB"/>
    <w:rsid w:val="2C57532E"/>
    <w:rsid w:val="2C794B5F"/>
    <w:rsid w:val="2C7C2FCD"/>
    <w:rsid w:val="2C8D68DE"/>
    <w:rsid w:val="2C9C00DD"/>
    <w:rsid w:val="2CC85F11"/>
    <w:rsid w:val="2CC8797B"/>
    <w:rsid w:val="2CDE7C26"/>
    <w:rsid w:val="2CE0346E"/>
    <w:rsid w:val="2D0706DD"/>
    <w:rsid w:val="2D071435"/>
    <w:rsid w:val="2D107C3D"/>
    <w:rsid w:val="2D2B3B16"/>
    <w:rsid w:val="2D3D7EDB"/>
    <w:rsid w:val="2D584B0D"/>
    <w:rsid w:val="2D5866EC"/>
    <w:rsid w:val="2D5B2210"/>
    <w:rsid w:val="2D5C03E1"/>
    <w:rsid w:val="2D616580"/>
    <w:rsid w:val="2D6D38A1"/>
    <w:rsid w:val="2D7A1F69"/>
    <w:rsid w:val="2D99233D"/>
    <w:rsid w:val="2D9A4F99"/>
    <w:rsid w:val="2DB773BF"/>
    <w:rsid w:val="2DBF5560"/>
    <w:rsid w:val="2DC50B44"/>
    <w:rsid w:val="2DC6679F"/>
    <w:rsid w:val="2DCB18FE"/>
    <w:rsid w:val="2DD84B65"/>
    <w:rsid w:val="2DDE21D5"/>
    <w:rsid w:val="2DEC5680"/>
    <w:rsid w:val="2DF45CF7"/>
    <w:rsid w:val="2DF55B7C"/>
    <w:rsid w:val="2E004E82"/>
    <w:rsid w:val="2E0314D6"/>
    <w:rsid w:val="2E0A6206"/>
    <w:rsid w:val="2E150147"/>
    <w:rsid w:val="2E1554B1"/>
    <w:rsid w:val="2E2978C3"/>
    <w:rsid w:val="2E2D56FF"/>
    <w:rsid w:val="2E340263"/>
    <w:rsid w:val="2E3420EF"/>
    <w:rsid w:val="2E375BEC"/>
    <w:rsid w:val="2E3F3416"/>
    <w:rsid w:val="2E567AD0"/>
    <w:rsid w:val="2E6309EA"/>
    <w:rsid w:val="2E754E5E"/>
    <w:rsid w:val="2E7761F7"/>
    <w:rsid w:val="2E7843BE"/>
    <w:rsid w:val="2E881641"/>
    <w:rsid w:val="2E8A1071"/>
    <w:rsid w:val="2E922760"/>
    <w:rsid w:val="2EAD3F67"/>
    <w:rsid w:val="2EC9132E"/>
    <w:rsid w:val="2ECD31B6"/>
    <w:rsid w:val="2ED50CF3"/>
    <w:rsid w:val="2EE92164"/>
    <w:rsid w:val="2EF2259F"/>
    <w:rsid w:val="2EF23A7F"/>
    <w:rsid w:val="2EF854A6"/>
    <w:rsid w:val="2F070871"/>
    <w:rsid w:val="2F0837E7"/>
    <w:rsid w:val="2F0B077E"/>
    <w:rsid w:val="2F0E3D68"/>
    <w:rsid w:val="2F2201C9"/>
    <w:rsid w:val="2F264974"/>
    <w:rsid w:val="2F34284F"/>
    <w:rsid w:val="2F371314"/>
    <w:rsid w:val="2F3D5E60"/>
    <w:rsid w:val="2F6668C8"/>
    <w:rsid w:val="2F6B14B4"/>
    <w:rsid w:val="2F7166FB"/>
    <w:rsid w:val="2F7A741C"/>
    <w:rsid w:val="2F867D00"/>
    <w:rsid w:val="2F8A3BF8"/>
    <w:rsid w:val="2F9030BC"/>
    <w:rsid w:val="2F993B25"/>
    <w:rsid w:val="2FAC4FDA"/>
    <w:rsid w:val="2FB62129"/>
    <w:rsid w:val="2FB76701"/>
    <w:rsid w:val="2FBE07EE"/>
    <w:rsid w:val="2FCC22D8"/>
    <w:rsid w:val="2FCC4E1C"/>
    <w:rsid w:val="2FDD550D"/>
    <w:rsid w:val="2FE13966"/>
    <w:rsid w:val="2FE72756"/>
    <w:rsid w:val="2FE90AE3"/>
    <w:rsid w:val="2FEB36A1"/>
    <w:rsid w:val="2FF058DC"/>
    <w:rsid w:val="2FF46765"/>
    <w:rsid w:val="3009498C"/>
    <w:rsid w:val="300A4883"/>
    <w:rsid w:val="30367264"/>
    <w:rsid w:val="30394D44"/>
    <w:rsid w:val="304B02C0"/>
    <w:rsid w:val="304C006F"/>
    <w:rsid w:val="305F05D4"/>
    <w:rsid w:val="306413DD"/>
    <w:rsid w:val="30783AC3"/>
    <w:rsid w:val="30852CFD"/>
    <w:rsid w:val="30905671"/>
    <w:rsid w:val="30980391"/>
    <w:rsid w:val="309D4E81"/>
    <w:rsid w:val="30B76581"/>
    <w:rsid w:val="30B84CA0"/>
    <w:rsid w:val="30C603EA"/>
    <w:rsid w:val="30D978C1"/>
    <w:rsid w:val="30E44E2B"/>
    <w:rsid w:val="30E50CC3"/>
    <w:rsid w:val="30E749C0"/>
    <w:rsid w:val="30F00B2F"/>
    <w:rsid w:val="30FB186F"/>
    <w:rsid w:val="310C51E4"/>
    <w:rsid w:val="31156587"/>
    <w:rsid w:val="31190934"/>
    <w:rsid w:val="311B154D"/>
    <w:rsid w:val="311C4AEF"/>
    <w:rsid w:val="31283ADD"/>
    <w:rsid w:val="313E7208"/>
    <w:rsid w:val="313F74ED"/>
    <w:rsid w:val="31496359"/>
    <w:rsid w:val="314C26AD"/>
    <w:rsid w:val="316373FA"/>
    <w:rsid w:val="31662A68"/>
    <w:rsid w:val="31684A32"/>
    <w:rsid w:val="31717DED"/>
    <w:rsid w:val="318172D0"/>
    <w:rsid w:val="31842461"/>
    <w:rsid w:val="318F638E"/>
    <w:rsid w:val="31910F29"/>
    <w:rsid w:val="319632F2"/>
    <w:rsid w:val="31A6689A"/>
    <w:rsid w:val="31AC4F91"/>
    <w:rsid w:val="31AD68E8"/>
    <w:rsid w:val="31B45EC9"/>
    <w:rsid w:val="31B80230"/>
    <w:rsid w:val="31C052E0"/>
    <w:rsid w:val="31C72880"/>
    <w:rsid w:val="31E66B05"/>
    <w:rsid w:val="31ED18D4"/>
    <w:rsid w:val="31F7483F"/>
    <w:rsid w:val="32135206"/>
    <w:rsid w:val="32296A5A"/>
    <w:rsid w:val="322C0116"/>
    <w:rsid w:val="3234317B"/>
    <w:rsid w:val="32346A5C"/>
    <w:rsid w:val="32364E06"/>
    <w:rsid w:val="32504DCD"/>
    <w:rsid w:val="326E0884"/>
    <w:rsid w:val="32765FEF"/>
    <w:rsid w:val="328B481C"/>
    <w:rsid w:val="328B4E7C"/>
    <w:rsid w:val="328D6E2F"/>
    <w:rsid w:val="32A17F61"/>
    <w:rsid w:val="32A25F73"/>
    <w:rsid w:val="32A8231E"/>
    <w:rsid w:val="32B67CA8"/>
    <w:rsid w:val="32BB477A"/>
    <w:rsid w:val="32CC160C"/>
    <w:rsid w:val="32D40377"/>
    <w:rsid w:val="32E478FE"/>
    <w:rsid w:val="32F50926"/>
    <w:rsid w:val="33004D26"/>
    <w:rsid w:val="331B45AE"/>
    <w:rsid w:val="332577D1"/>
    <w:rsid w:val="332C763A"/>
    <w:rsid w:val="333241CB"/>
    <w:rsid w:val="333954F6"/>
    <w:rsid w:val="33395F4F"/>
    <w:rsid w:val="33595315"/>
    <w:rsid w:val="335C0FB5"/>
    <w:rsid w:val="337F18EE"/>
    <w:rsid w:val="337F6030"/>
    <w:rsid w:val="33800A2C"/>
    <w:rsid w:val="3384421F"/>
    <w:rsid w:val="33B23B1B"/>
    <w:rsid w:val="33C23093"/>
    <w:rsid w:val="33CE185B"/>
    <w:rsid w:val="33E73D4B"/>
    <w:rsid w:val="33EE5306"/>
    <w:rsid w:val="33F63D5F"/>
    <w:rsid w:val="33FC76B3"/>
    <w:rsid w:val="34001D2B"/>
    <w:rsid w:val="3406003E"/>
    <w:rsid w:val="340A0022"/>
    <w:rsid w:val="340D404C"/>
    <w:rsid w:val="342F510C"/>
    <w:rsid w:val="344057F2"/>
    <w:rsid w:val="344C2A91"/>
    <w:rsid w:val="344E4028"/>
    <w:rsid w:val="34525A4E"/>
    <w:rsid w:val="34661E79"/>
    <w:rsid w:val="346F246A"/>
    <w:rsid w:val="346F617E"/>
    <w:rsid w:val="34764EAA"/>
    <w:rsid w:val="348A1F7F"/>
    <w:rsid w:val="349E2C9B"/>
    <w:rsid w:val="34A2120D"/>
    <w:rsid w:val="34A64458"/>
    <w:rsid w:val="34A910B7"/>
    <w:rsid w:val="34BE6C4C"/>
    <w:rsid w:val="34C450FB"/>
    <w:rsid w:val="34C825D9"/>
    <w:rsid w:val="34D9458E"/>
    <w:rsid w:val="34E814C3"/>
    <w:rsid w:val="34F55B26"/>
    <w:rsid w:val="34F61467"/>
    <w:rsid w:val="351E64EA"/>
    <w:rsid w:val="35233726"/>
    <w:rsid w:val="352673C4"/>
    <w:rsid w:val="3528331A"/>
    <w:rsid w:val="353A5FA1"/>
    <w:rsid w:val="353C306D"/>
    <w:rsid w:val="354B31D8"/>
    <w:rsid w:val="355676A9"/>
    <w:rsid w:val="356419B4"/>
    <w:rsid w:val="357623E3"/>
    <w:rsid w:val="35767000"/>
    <w:rsid w:val="35797D36"/>
    <w:rsid w:val="357D13D8"/>
    <w:rsid w:val="358114E7"/>
    <w:rsid w:val="3585685F"/>
    <w:rsid w:val="358E33E8"/>
    <w:rsid w:val="358F7679"/>
    <w:rsid w:val="35A34283"/>
    <w:rsid w:val="35B36E61"/>
    <w:rsid w:val="35B76817"/>
    <w:rsid w:val="35B81C8F"/>
    <w:rsid w:val="35E0482C"/>
    <w:rsid w:val="35E30ECD"/>
    <w:rsid w:val="35E7751D"/>
    <w:rsid w:val="35EC22E8"/>
    <w:rsid w:val="35EE6814"/>
    <w:rsid w:val="35FB7230"/>
    <w:rsid w:val="35FD50E1"/>
    <w:rsid w:val="35FF3814"/>
    <w:rsid w:val="36132BA7"/>
    <w:rsid w:val="36133099"/>
    <w:rsid w:val="361677DE"/>
    <w:rsid w:val="36193AC4"/>
    <w:rsid w:val="361C5B5C"/>
    <w:rsid w:val="36453DF5"/>
    <w:rsid w:val="36472EDE"/>
    <w:rsid w:val="3656754F"/>
    <w:rsid w:val="36586120"/>
    <w:rsid w:val="365C0902"/>
    <w:rsid w:val="365D605B"/>
    <w:rsid w:val="36730D18"/>
    <w:rsid w:val="367A2B82"/>
    <w:rsid w:val="367D2795"/>
    <w:rsid w:val="367E63FC"/>
    <w:rsid w:val="367F420D"/>
    <w:rsid w:val="36845A94"/>
    <w:rsid w:val="36847F27"/>
    <w:rsid w:val="368A2516"/>
    <w:rsid w:val="36926DC5"/>
    <w:rsid w:val="36A41B96"/>
    <w:rsid w:val="36A5240A"/>
    <w:rsid w:val="36AA6092"/>
    <w:rsid w:val="36AD4D87"/>
    <w:rsid w:val="36B01525"/>
    <w:rsid w:val="36C37311"/>
    <w:rsid w:val="36C703DA"/>
    <w:rsid w:val="36D3585C"/>
    <w:rsid w:val="36D44BB2"/>
    <w:rsid w:val="36E80A75"/>
    <w:rsid w:val="36E97A1B"/>
    <w:rsid w:val="36F77AF1"/>
    <w:rsid w:val="36F813CB"/>
    <w:rsid w:val="36FD67EA"/>
    <w:rsid w:val="37042C22"/>
    <w:rsid w:val="37270EF2"/>
    <w:rsid w:val="37303B5A"/>
    <w:rsid w:val="373327FA"/>
    <w:rsid w:val="373C65AC"/>
    <w:rsid w:val="374848C7"/>
    <w:rsid w:val="37560805"/>
    <w:rsid w:val="37564B85"/>
    <w:rsid w:val="375F153C"/>
    <w:rsid w:val="3760467B"/>
    <w:rsid w:val="37725BE8"/>
    <w:rsid w:val="37735514"/>
    <w:rsid w:val="37771930"/>
    <w:rsid w:val="377B59DE"/>
    <w:rsid w:val="378253B6"/>
    <w:rsid w:val="37863297"/>
    <w:rsid w:val="37865CFE"/>
    <w:rsid w:val="37893954"/>
    <w:rsid w:val="37905EAE"/>
    <w:rsid w:val="379406B9"/>
    <w:rsid w:val="3796389C"/>
    <w:rsid w:val="37BC4A81"/>
    <w:rsid w:val="37BE4B3F"/>
    <w:rsid w:val="37BF3E47"/>
    <w:rsid w:val="37DA58A5"/>
    <w:rsid w:val="37E33755"/>
    <w:rsid w:val="37EC5CD0"/>
    <w:rsid w:val="37F513F3"/>
    <w:rsid w:val="38044FE4"/>
    <w:rsid w:val="3809046E"/>
    <w:rsid w:val="381A403E"/>
    <w:rsid w:val="381F20D5"/>
    <w:rsid w:val="38223824"/>
    <w:rsid w:val="382F1B72"/>
    <w:rsid w:val="38304FD2"/>
    <w:rsid w:val="38305B7D"/>
    <w:rsid w:val="38345288"/>
    <w:rsid w:val="383E47B4"/>
    <w:rsid w:val="38473010"/>
    <w:rsid w:val="384F2BCB"/>
    <w:rsid w:val="3864073E"/>
    <w:rsid w:val="386471D0"/>
    <w:rsid w:val="38714285"/>
    <w:rsid w:val="388B1CBD"/>
    <w:rsid w:val="389C3213"/>
    <w:rsid w:val="38C24616"/>
    <w:rsid w:val="38C628D9"/>
    <w:rsid w:val="38D07B4F"/>
    <w:rsid w:val="38D54F16"/>
    <w:rsid w:val="38E560C8"/>
    <w:rsid w:val="38F00A9D"/>
    <w:rsid w:val="39111B30"/>
    <w:rsid w:val="391734C1"/>
    <w:rsid w:val="39181A48"/>
    <w:rsid w:val="391C0376"/>
    <w:rsid w:val="39205798"/>
    <w:rsid w:val="3922686D"/>
    <w:rsid w:val="393428EB"/>
    <w:rsid w:val="394B142F"/>
    <w:rsid w:val="39522855"/>
    <w:rsid w:val="39557409"/>
    <w:rsid w:val="395C4E7F"/>
    <w:rsid w:val="39631654"/>
    <w:rsid w:val="396A5D66"/>
    <w:rsid w:val="396D671D"/>
    <w:rsid w:val="39892762"/>
    <w:rsid w:val="398B6F13"/>
    <w:rsid w:val="399132FB"/>
    <w:rsid w:val="399E3A92"/>
    <w:rsid w:val="399F2FBB"/>
    <w:rsid w:val="39A72233"/>
    <w:rsid w:val="39BF20DC"/>
    <w:rsid w:val="39D42D48"/>
    <w:rsid w:val="39DE74EC"/>
    <w:rsid w:val="39E627A3"/>
    <w:rsid w:val="39E72CC9"/>
    <w:rsid w:val="3A1A4E65"/>
    <w:rsid w:val="3A276C1D"/>
    <w:rsid w:val="3A297A92"/>
    <w:rsid w:val="3A322E6C"/>
    <w:rsid w:val="3A331209"/>
    <w:rsid w:val="3A3567E6"/>
    <w:rsid w:val="3A5B550E"/>
    <w:rsid w:val="3A776A64"/>
    <w:rsid w:val="3A7B5908"/>
    <w:rsid w:val="3A834C23"/>
    <w:rsid w:val="3A865F28"/>
    <w:rsid w:val="3A872B94"/>
    <w:rsid w:val="3A8B5CEA"/>
    <w:rsid w:val="3A9A5032"/>
    <w:rsid w:val="3AA421E3"/>
    <w:rsid w:val="3AA951AE"/>
    <w:rsid w:val="3AAC51BF"/>
    <w:rsid w:val="3AAF353A"/>
    <w:rsid w:val="3AB9325B"/>
    <w:rsid w:val="3ABC26B8"/>
    <w:rsid w:val="3AC54386"/>
    <w:rsid w:val="3AD857AC"/>
    <w:rsid w:val="3ADB58C3"/>
    <w:rsid w:val="3AE71686"/>
    <w:rsid w:val="3AEE10A0"/>
    <w:rsid w:val="3AFC237A"/>
    <w:rsid w:val="3AFC4EDC"/>
    <w:rsid w:val="3B0A783C"/>
    <w:rsid w:val="3B0F0938"/>
    <w:rsid w:val="3B1102ED"/>
    <w:rsid w:val="3B1135B7"/>
    <w:rsid w:val="3B145851"/>
    <w:rsid w:val="3B1804F0"/>
    <w:rsid w:val="3B1B719B"/>
    <w:rsid w:val="3B4200A1"/>
    <w:rsid w:val="3B46325E"/>
    <w:rsid w:val="3B551EB5"/>
    <w:rsid w:val="3B5A2A69"/>
    <w:rsid w:val="3B5E4CE8"/>
    <w:rsid w:val="3B622797"/>
    <w:rsid w:val="3B6B726D"/>
    <w:rsid w:val="3B6D64B2"/>
    <w:rsid w:val="3B6F3A54"/>
    <w:rsid w:val="3B7300FD"/>
    <w:rsid w:val="3B7546E0"/>
    <w:rsid w:val="3B762441"/>
    <w:rsid w:val="3B7D0523"/>
    <w:rsid w:val="3B7E598D"/>
    <w:rsid w:val="3B83317A"/>
    <w:rsid w:val="3B900374"/>
    <w:rsid w:val="3BA02DEC"/>
    <w:rsid w:val="3BA04544"/>
    <w:rsid w:val="3BBD11BD"/>
    <w:rsid w:val="3BBE6FA9"/>
    <w:rsid w:val="3BC80007"/>
    <w:rsid w:val="3BCE51DE"/>
    <w:rsid w:val="3BD34A4E"/>
    <w:rsid w:val="3BD936A1"/>
    <w:rsid w:val="3BDA7DDD"/>
    <w:rsid w:val="3BE80715"/>
    <w:rsid w:val="3BE93EA9"/>
    <w:rsid w:val="3BEB1868"/>
    <w:rsid w:val="3C017634"/>
    <w:rsid w:val="3C052495"/>
    <w:rsid w:val="3C096004"/>
    <w:rsid w:val="3C242530"/>
    <w:rsid w:val="3C282942"/>
    <w:rsid w:val="3C354BF6"/>
    <w:rsid w:val="3C4433CF"/>
    <w:rsid w:val="3C4C1184"/>
    <w:rsid w:val="3C4E35B7"/>
    <w:rsid w:val="3C5841DD"/>
    <w:rsid w:val="3C60660B"/>
    <w:rsid w:val="3C664263"/>
    <w:rsid w:val="3C6866D6"/>
    <w:rsid w:val="3C6A6D0B"/>
    <w:rsid w:val="3C6F39BD"/>
    <w:rsid w:val="3C780EB3"/>
    <w:rsid w:val="3C7B6B05"/>
    <w:rsid w:val="3C9908B3"/>
    <w:rsid w:val="3C994DE5"/>
    <w:rsid w:val="3CA1157F"/>
    <w:rsid w:val="3CAA13FA"/>
    <w:rsid w:val="3CAA25C8"/>
    <w:rsid w:val="3CAB4DED"/>
    <w:rsid w:val="3CBF3A5D"/>
    <w:rsid w:val="3CC63868"/>
    <w:rsid w:val="3CDC18B4"/>
    <w:rsid w:val="3CF2299F"/>
    <w:rsid w:val="3D0D12F0"/>
    <w:rsid w:val="3D347929"/>
    <w:rsid w:val="3D374738"/>
    <w:rsid w:val="3D3C2524"/>
    <w:rsid w:val="3D4406E1"/>
    <w:rsid w:val="3D485297"/>
    <w:rsid w:val="3D54614D"/>
    <w:rsid w:val="3D577FCD"/>
    <w:rsid w:val="3D676BD4"/>
    <w:rsid w:val="3D6F0EF6"/>
    <w:rsid w:val="3D706E8A"/>
    <w:rsid w:val="3D743C95"/>
    <w:rsid w:val="3D78424A"/>
    <w:rsid w:val="3D8260C8"/>
    <w:rsid w:val="3D8C7A59"/>
    <w:rsid w:val="3D9312C4"/>
    <w:rsid w:val="3D9A5172"/>
    <w:rsid w:val="3DAC3284"/>
    <w:rsid w:val="3DAC685A"/>
    <w:rsid w:val="3DB80AEF"/>
    <w:rsid w:val="3DC23923"/>
    <w:rsid w:val="3DC37C7C"/>
    <w:rsid w:val="3DCD4AE0"/>
    <w:rsid w:val="3DD97AAB"/>
    <w:rsid w:val="3DDB70C7"/>
    <w:rsid w:val="3DE174F3"/>
    <w:rsid w:val="3DF45060"/>
    <w:rsid w:val="3DF91D7F"/>
    <w:rsid w:val="3E1D6636"/>
    <w:rsid w:val="3E295710"/>
    <w:rsid w:val="3E2C4BE1"/>
    <w:rsid w:val="3E2D5DEA"/>
    <w:rsid w:val="3E451A9D"/>
    <w:rsid w:val="3E4D23A6"/>
    <w:rsid w:val="3E5772EB"/>
    <w:rsid w:val="3E617987"/>
    <w:rsid w:val="3E6D1813"/>
    <w:rsid w:val="3E6D3687"/>
    <w:rsid w:val="3E724A91"/>
    <w:rsid w:val="3E783D43"/>
    <w:rsid w:val="3E87560C"/>
    <w:rsid w:val="3E8C36C5"/>
    <w:rsid w:val="3E8D27A9"/>
    <w:rsid w:val="3E931265"/>
    <w:rsid w:val="3EA1101E"/>
    <w:rsid w:val="3EA25D1B"/>
    <w:rsid w:val="3EA76F77"/>
    <w:rsid w:val="3EAF5595"/>
    <w:rsid w:val="3EB2553E"/>
    <w:rsid w:val="3EC95FAA"/>
    <w:rsid w:val="3ECE4F5F"/>
    <w:rsid w:val="3ED0552A"/>
    <w:rsid w:val="3ED45048"/>
    <w:rsid w:val="3EE729A4"/>
    <w:rsid w:val="3EFC23D0"/>
    <w:rsid w:val="3EFC3CAA"/>
    <w:rsid w:val="3EFD42E6"/>
    <w:rsid w:val="3F0C5616"/>
    <w:rsid w:val="3F1970D3"/>
    <w:rsid w:val="3F392BA0"/>
    <w:rsid w:val="3F3A1EF8"/>
    <w:rsid w:val="3F5869DA"/>
    <w:rsid w:val="3F6973CB"/>
    <w:rsid w:val="3F6C4B8F"/>
    <w:rsid w:val="3F901B9E"/>
    <w:rsid w:val="3FCD1DFC"/>
    <w:rsid w:val="3FD34E51"/>
    <w:rsid w:val="3FD931AC"/>
    <w:rsid w:val="3FDB4706"/>
    <w:rsid w:val="3FDC1B8F"/>
    <w:rsid w:val="3FDF6968"/>
    <w:rsid w:val="3FFF04EB"/>
    <w:rsid w:val="40066C73"/>
    <w:rsid w:val="400A308E"/>
    <w:rsid w:val="401C14EE"/>
    <w:rsid w:val="401C4A08"/>
    <w:rsid w:val="40227766"/>
    <w:rsid w:val="402E7D6A"/>
    <w:rsid w:val="403E0DE8"/>
    <w:rsid w:val="40416677"/>
    <w:rsid w:val="40572A24"/>
    <w:rsid w:val="406B6CCC"/>
    <w:rsid w:val="406C2292"/>
    <w:rsid w:val="406C66A3"/>
    <w:rsid w:val="40722652"/>
    <w:rsid w:val="407237EE"/>
    <w:rsid w:val="407D5019"/>
    <w:rsid w:val="407E224F"/>
    <w:rsid w:val="407F67D8"/>
    <w:rsid w:val="40806823"/>
    <w:rsid w:val="408C62AE"/>
    <w:rsid w:val="4090762F"/>
    <w:rsid w:val="40961AAC"/>
    <w:rsid w:val="40A030D6"/>
    <w:rsid w:val="40A20D89"/>
    <w:rsid w:val="40A56AC7"/>
    <w:rsid w:val="40BA5628"/>
    <w:rsid w:val="40BD2ADF"/>
    <w:rsid w:val="40BE466E"/>
    <w:rsid w:val="40C366B2"/>
    <w:rsid w:val="40C852B4"/>
    <w:rsid w:val="40CC584D"/>
    <w:rsid w:val="40D97519"/>
    <w:rsid w:val="40DB1ED6"/>
    <w:rsid w:val="40E82241"/>
    <w:rsid w:val="40EC7882"/>
    <w:rsid w:val="40F41E3E"/>
    <w:rsid w:val="40F90E8E"/>
    <w:rsid w:val="40FC2A5F"/>
    <w:rsid w:val="40FC311A"/>
    <w:rsid w:val="41016E49"/>
    <w:rsid w:val="4102615C"/>
    <w:rsid w:val="410A1661"/>
    <w:rsid w:val="410E316F"/>
    <w:rsid w:val="411832C0"/>
    <w:rsid w:val="411E69CF"/>
    <w:rsid w:val="41247A0E"/>
    <w:rsid w:val="413674E9"/>
    <w:rsid w:val="413D5D43"/>
    <w:rsid w:val="414B29A3"/>
    <w:rsid w:val="414E5E54"/>
    <w:rsid w:val="4154670D"/>
    <w:rsid w:val="416B484F"/>
    <w:rsid w:val="416D2A67"/>
    <w:rsid w:val="417C69CD"/>
    <w:rsid w:val="418408ED"/>
    <w:rsid w:val="418958FE"/>
    <w:rsid w:val="419B6FC4"/>
    <w:rsid w:val="41A30FD3"/>
    <w:rsid w:val="41A7268E"/>
    <w:rsid w:val="41B93DB0"/>
    <w:rsid w:val="41C0214A"/>
    <w:rsid w:val="41C04F6E"/>
    <w:rsid w:val="41D3540D"/>
    <w:rsid w:val="41DD6357"/>
    <w:rsid w:val="41E95AC6"/>
    <w:rsid w:val="41FF13DE"/>
    <w:rsid w:val="420240EC"/>
    <w:rsid w:val="420625A2"/>
    <w:rsid w:val="4212061D"/>
    <w:rsid w:val="422415BC"/>
    <w:rsid w:val="42320DE7"/>
    <w:rsid w:val="4234215F"/>
    <w:rsid w:val="42345499"/>
    <w:rsid w:val="4246491B"/>
    <w:rsid w:val="424C3AF3"/>
    <w:rsid w:val="42663384"/>
    <w:rsid w:val="427638FE"/>
    <w:rsid w:val="427A2D5F"/>
    <w:rsid w:val="42836CE2"/>
    <w:rsid w:val="42975D77"/>
    <w:rsid w:val="42A079D7"/>
    <w:rsid w:val="42A95EE6"/>
    <w:rsid w:val="42D41C3A"/>
    <w:rsid w:val="42D45697"/>
    <w:rsid w:val="42E24657"/>
    <w:rsid w:val="42EB165B"/>
    <w:rsid w:val="42F42465"/>
    <w:rsid w:val="42F67038"/>
    <w:rsid w:val="430B6AB6"/>
    <w:rsid w:val="4312558E"/>
    <w:rsid w:val="4320100D"/>
    <w:rsid w:val="432764D2"/>
    <w:rsid w:val="432D53EC"/>
    <w:rsid w:val="432D63A7"/>
    <w:rsid w:val="433B5074"/>
    <w:rsid w:val="434E1FDD"/>
    <w:rsid w:val="435A1253"/>
    <w:rsid w:val="435F3327"/>
    <w:rsid w:val="43600B39"/>
    <w:rsid w:val="437E2C67"/>
    <w:rsid w:val="43845623"/>
    <w:rsid w:val="4385552C"/>
    <w:rsid w:val="438D4043"/>
    <w:rsid w:val="43903E1A"/>
    <w:rsid w:val="43917E18"/>
    <w:rsid w:val="4392593E"/>
    <w:rsid w:val="43931DE2"/>
    <w:rsid w:val="43A56E6F"/>
    <w:rsid w:val="43A95820"/>
    <w:rsid w:val="43BB56E1"/>
    <w:rsid w:val="43C26223"/>
    <w:rsid w:val="43C336E7"/>
    <w:rsid w:val="43DC4BC5"/>
    <w:rsid w:val="43FC6FF3"/>
    <w:rsid w:val="43FD6171"/>
    <w:rsid w:val="44084C75"/>
    <w:rsid w:val="44364C51"/>
    <w:rsid w:val="444A4C2E"/>
    <w:rsid w:val="444B3526"/>
    <w:rsid w:val="445834D6"/>
    <w:rsid w:val="44593723"/>
    <w:rsid w:val="44802168"/>
    <w:rsid w:val="44881C93"/>
    <w:rsid w:val="44962CA4"/>
    <w:rsid w:val="44A7620F"/>
    <w:rsid w:val="44AC2066"/>
    <w:rsid w:val="44B07979"/>
    <w:rsid w:val="44BD42C8"/>
    <w:rsid w:val="44D02E58"/>
    <w:rsid w:val="44D144DD"/>
    <w:rsid w:val="44E13CFC"/>
    <w:rsid w:val="44F74427"/>
    <w:rsid w:val="44FE09F7"/>
    <w:rsid w:val="45096135"/>
    <w:rsid w:val="451E7467"/>
    <w:rsid w:val="45202F54"/>
    <w:rsid w:val="453000C6"/>
    <w:rsid w:val="45461CF9"/>
    <w:rsid w:val="454F345A"/>
    <w:rsid w:val="4554734F"/>
    <w:rsid w:val="45577A93"/>
    <w:rsid w:val="456F5F37"/>
    <w:rsid w:val="4571013B"/>
    <w:rsid w:val="45717B42"/>
    <w:rsid w:val="457549BF"/>
    <w:rsid w:val="45773D7D"/>
    <w:rsid w:val="458B39BB"/>
    <w:rsid w:val="459430F9"/>
    <w:rsid w:val="45A00407"/>
    <w:rsid w:val="45A3289C"/>
    <w:rsid w:val="45AE334E"/>
    <w:rsid w:val="45AF10F5"/>
    <w:rsid w:val="45B9708A"/>
    <w:rsid w:val="45C23AB9"/>
    <w:rsid w:val="45D534EE"/>
    <w:rsid w:val="45EB34E7"/>
    <w:rsid w:val="45F01CE7"/>
    <w:rsid w:val="45F17C8E"/>
    <w:rsid w:val="46044D52"/>
    <w:rsid w:val="46051624"/>
    <w:rsid w:val="46181781"/>
    <w:rsid w:val="46205483"/>
    <w:rsid w:val="46222E32"/>
    <w:rsid w:val="462F0F61"/>
    <w:rsid w:val="46301196"/>
    <w:rsid w:val="46317690"/>
    <w:rsid w:val="463B6857"/>
    <w:rsid w:val="4646585A"/>
    <w:rsid w:val="464825B9"/>
    <w:rsid w:val="4654684A"/>
    <w:rsid w:val="46642B1A"/>
    <w:rsid w:val="466A120B"/>
    <w:rsid w:val="46953DAF"/>
    <w:rsid w:val="46B065DC"/>
    <w:rsid w:val="46D26F40"/>
    <w:rsid w:val="46D32B46"/>
    <w:rsid w:val="46E56A68"/>
    <w:rsid w:val="46E7720A"/>
    <w:rsid w:val="46EB39BB"/>
    <w:rsid w:val="46F336A8"/>
    <w:rsid w:val="46F52EA6"/>
    <w:rsid w:val="470E696D"/>
    <w:rsid w:val="47152266"/>
    <w:rsid w:val="471D5718"/>
    <w:rsid w:val="4726600C"/>
    <w:rsid w:val="472C3839"/>
    <w:rsid w:val="473271AB"/>
    <w:rsid w:val="47363307"/>
    <w:rsid w:val="473A6EDD"/>
    <w:rsid w:val="474B714F"/>
    <w:rsid w:val="47510221"/>
    <w:rsid w:val="476775E1"/>
    <w:rsid w:val="476D6D1D"/>
    <w:rsid w:val="4773129B"/>
    <w:rsid w:val="478278C1"/>
    <w:rsid w:val="47A14107"/>
    <w:rsid w:val="47A93B03"/>
    <w:rsid w:val="47AC0BA4"/>
    <w:rsid w:val="47CB5B8D"/>
    <w:rsid w:val="47CD0C62"/>
    <w:rsid w:val="47D835CF"/>
    <w:rsid w:val="47E606F7"/>
    <w:rsid w:val="47E83B71"/>
    <w:rsid w:val="48287B7E"/>
    <w:rsid w:val="484363EF"/>
    <w:rsid w:val="48464502"/>
    <w:rsid w:val="485066C4"/>
    <w:rsid w:val="4853044D"/>
    <w:rsid w:val="485A5CDD"/>
    <w:rsid w:val="486214D6"/>
    <w:rsid w:val="48627FD5"/>
    <w:rsid w:val="486E450E"/>
    <w:rsid w:val="486F2BC8"/>
    <w:rsid w:val="4873131B"/>
    <w:rsid w:val="487C2C42"/>
    <w:rsid w:val="487E2858"/>
    <w:rsid w:val="488E1E7E"/>
    <w:rsid w:val="488E7F1C"/>
    <w:rsid w:val="489815A6"/>
    <w:rsid w:val="48A3321A"/>
    <w:rsid w:val="48A474FB"/>
    <w:rsid w:val="48AC47F0"/>
    <w:rsid w:val="48BB76E5"/>
    <w:rsid w:val="48CF41E8"/>
    <w:rsid w:val="48DF778C"/>
    <w:rsid w:val="48FB03B1"/>
    <w:rsid w:val="48FE6ABE"/>
    <w:rsid w:val="4902363E"/>
    <w:rsid w:val="49056AC4"/>
    <w:rsid w:val="49173681"/>
    <w:rsid w:val="491E446F"/>
    <w:rsid w:val="49255A92"/>
    <w:rsid w:val="4933371F"/>
    <w:rsid w:val="49344B17"/>
    <w:rsid w:val="49421F59"/>
    <w:rsid w:val="494A01D4"/>
    <w:rsid w:val="494B0D45"/>
    <w:rsid w:val="49542DA5"/>
    <w:rsid w:val="49571112"/>
    <w:rsid w:val="495D1418"/>
    <w:rsid w:val="496A2899"/>
    <w:rsid w:val="496E0603"/>
    <w:rsid w:val="499B2377"/>
    <w:rsid w:val="49A52942"/>
    <w:rsid w:val="49A82849"/>
    <w:rsid w:val="49A8474C"/>
    <w:rsid w:val="49A84C37"/>
    <w:rsid w:val="49A96D6B"/>
    <w:rsid w:val="49BC62C6"/>
    <w:rsid w:val="49C753BF"/>
    <w:rsid w:val="49ED38CE"/>
    <w:rsid w:val="49F049D1"/>
    <w:rsid w:val="4A117554"/>
    <w:rsid w:val="4A142BC7"/>
    <w:rsid w:val="4A166613"/>
    <w:rsid w:val="4A233794"/>
    <w:rsid w:val="4A271CBA"/>
    <w:rsid w:val="4A4F09AE"/>
    <w:rsid w:val="4A522AB3"/>
    <w:rsid w:val="4A810B60"/>
    <w:rsid w:val="4A88651C"/>
    <w:rsid w:val="4A96414A"/>
    <w:rsid w:val="4AAD03B1"/>
    <w:rsid w:val="4AAE5753"/>
    <w:rsid w:val="4ABE7BDC"/>
    <w:rsid w:val="4ACA3396"/>
    <w:rsid w:val="4AD2153B"/>
    <w:rsid w:val="4AE305F6"/>
    <w:rsid w:val="4AF47B29"/>
    <w:rsid w:val="4B004CAF"/>
    <w:rsid w:val="4B087D76"/>
    <w:rsid w:val="4B0E369D"/>
    <w:rsid w:val="4B1D5142"/>
    <w:rsid w:val="4B1E4DE3"/>
    <w:rsid w:val="4B210482"/>
    <w:rsid w:val="4B337942"/>
    <w:rsid w:val="4B3A0D95"/>
    <w:rsid w:val="4B431D62"/>
    <w:rsid w:val="4B4A59B5"/>
    <w:rsid w:val="4B5D2771"/>
    <w:rsid w:val="4B5D5243"/>
    <w:rsid w:val="4B98554A"/>
    <w:rsid w:val="4BA46271"/>
    <w:rsid w:val="4BAF45E8"/>
    <w:rsid w:val="4BBC79FC"/>
    <w:rsid w:val="4BD24751"/>
    <w:rsid w:val="4BE2674A"/>
    <w:rsid w:val="4BF15F41"/>
    <w:rsid w:val="4BF254B6"/>
    <w:rsid w:val="4BFC5398"/>
    <w:rsid w:val="4BFE7D5A"/>
    <w:rsid w:val="4C177328"/>
    <w:rsid w:val="4C2528CF"/>
    <w:rsid w:val="4C2F7E43"/>
    <w:rsid w:val="4C401FA4"/>
    <w:rsid w:val="4C4253F5"/>
    <w:rsid w:val="4C537424"/>
    <w:rsid w:val="4C5B2020"/>
    <w:rsid w:val="4C6651BB"/>
    <w:rsid w:val="4C704A6B"/>
    <w:rsid w:val="4C7447CD"/>
    <w:rsid w:val="4C790371"/>
    <w:rsid w:val="4C7941B5"/>
    <w:rsid w:val="4C822B3F"/>
    <w:rsid w:val="4C884CCF"/>
    <w:rsid w:val="4C8A7D00"/>
    <w:rsid w:val="4C92069D"/>
    <w:rsid w:val="4C954C4A"/>
    <w:rsid w:val="4C9B1AEC"/>
    <w:rsid w:val="4CA22CC5"/>
    <w:rsid w:val="4CAD70A2"/>
    <w:rsid w:val="4CB04A0D"/>
    <w:rsid w:val="4CC96116"/>
    <w:rsid w:val="4CFC134D"/>
    <w:rsid w:val="4CFE5B8B"/>
    <w:rsid w:val="4D0446A1"/>
    <w:rsid w:val="4D0B6BBA"/>
    <w:rsid w:val="4D1F46E6"/>
    <w:rsid w:val="4D3A2F49"/>
    <w:rsid w:val="4D3D316F"/>
    <w:rsid w:val="4D41747F"/>
    <w:rsid w:val="4D5A5D92"/>
    <w:rsid w:val="4D5F2A5B"/>
    <w:rsid w:val="4D662315"/>
    <w:rsid w:val="4D6C63BE"/>
    <w:rsid w:val="4D6D0D89"/>
    <w:rsid w:val="4D7C7E6A"/>
    <w:rsid w:val="4D8E2AE8"/>
    <w:rsid w:val="4D937A1E"/>
    <w:rsid w:val="4D944048"/>
    <w:rsid w:val="4D975BDF"/>
    <w:rsid w:val="4DA37AE4"/>
    <w:rsid w:val="4DA52475"/>
    <w:rsid w:val="4DAA393B"/>
    <w:rsid w:val="4DAD47FF"/>
    <w:rsid w:val="4DAF163B"/>
    <w:rsid w:val="4DC0079C"/>
    <w:rsid w:val="4DC64BA7"/>
    <w:rsid w:val="4DE11185"/>
    <w:rsid w:val="4DEE6F2B"/>
    <w:rsid w:val="4DF27705"/>
    <w:rsid w:val="4E011ECD"/>
    <w:rsid w:val="4E036D76"/>
    <w:rsid w:val="4E27029F"/>
    <w:rsid w:val="4E3807D0"/>
    <w:rsid w:val="4E40029D"/>
    <w:rsid w:val="4E422D92"/>
    <w:rsid w:val="4E466C59"/>
    <w:rsid w:val="4E4A7C71"/>
    <w:rsid w:val="4E4D0F2A"/>
    <w:rsid w:val="4E6D0216"/>
    <w:rsid w:val="4E73129B"/>
    <w:rsid w:val="4E7F0ECC"/>
    <w:rsid w:val="4E8642F1"/>
    <w:rsid w:val="4E9A2D27"/>
    <w:rsid w:val="4EAB4B6C"/>
    <w:rsid w:val="4EAF4241"/>
    <w:rsid w:val="4EB250E6"/>
    <w:rsid w:val="4EB915E5"/>
    <w:rsid w:val="4EBA6AA5"/>
    <w:rsid w:val="4EC20AA6"/>
    <w:rsid w:val="4EC340D0"/>
    <w:rsid w:val="4EC37150"/>
    <w:rsid w:val="4EC54F79"/>
    <w:rsid w:val="4EC818AD"/>
    <w:rsid w:val="4EDA7ACD"/>
    <w:rsid w:val="4EEA0EB1"/>
    <w:rsid w:val="4EED38E4"/>
    <w:rsid w:val="4F1658F6"/>
    <w:rsid w:val="4F2161B7"/>
    <w:rsid w:val="4F265A06"/>
    <w:rsid w:val="4F4B44E0"/>
    <w:rsid w:val="4F650BE3"/>
    <w:rsid w:val="4F896AED"/>
    <w:rsid w:val="4F8C5937"/>
    <w:rsid w:val="4F930F15"/>
    <w:rsid w:val="4F9367CD"/>
    <w:rsid w:val="4F9F432E"/>
    <w:rsid w:val="4FAF7F0C"/>
    <w:rsid w:val="4FCA23A2"/>
    <w:rsid w:val="4FCA4952"/>
    <w:rsid w:val="4FCF0D25"/>
    <w:rsid w:val="4FE1363F"/>
    <w:rsid w:val="4FF87C5F"/>
    <w:rsid w:val="50083210"/>
    <w:rsid w:val="50114468"/>
    <w:rsid w:val="50362311"/>
    <w:rsid w:val="50495334"/>
    <w:rsid w:val="505C706E"/>
    <w:rsid w:val="50762C45"/>
    <w:rsid w:val="507B32C8"/>
    <w:rsid w:val="507D3465"/>
    <w:rsid w:val="5080168A"/>
    <w:rsid w:val="50A14697"/>
    <w:rsid w:val="50A40FB9"/>
    <w:rsid w:val="50B74801"/>
    <w:rsid w:val="50BD022B"/>
    <w:rsid w:val="50C42091"/>
    <w:rsid w:val="50C4210A"/>
    <w:rsid w:val="50C94F27"/>
    <w:rsid w:val="50CE28D9"/>
    <w:rsid w:val="50CF0C9C"/>
    <w:rsid w:val="50D079F6"/>
    <w:rsid w:val="50DE3D6B"/>
    <w:rsid w:val="50E86F47"/>
    <w:rsid w:val="50F6273E"/>
    <w:rsid w:val="511B60BA"/>
    <w:rsid w:val="511C2739"/>
    <w:rsid w:val="51294792"/>
    <w:rsid w:val="513536AF"/>
    <w:rsid w:val="51421AB2"/>
    <w:rsid w:val="51512ABF"/>
    <w:rsid w:val="51571FD2"/>
    <w:rsid w:val="51622D02"/>
    <w:rsid w:val="516C26ED"/>
    <w:rsid w:val="51715151"/>
    <w:rsid w:val="51785FE6"/>
    <w:rsid w:val="518C7008"/>
    <w:rsid w:val="51A35516"/>
    <w:rsid w:val="51AB5FF6"/>
    <w:rsid w:val="51AD414E"/>
    <w:rsid w:val="51B01DB1"/>
    <w:rsid w:val="51C36010"/>
    <w:rsid w:val="51EB67C6"/>
    <w:rsid w:val="51EE6673"/>
    <w:rsid w:val="51EF1038"/>
    <w:rsid w:val="51F86062"/>
    <w:rsid w:val="52006C40"/>
    <w:rsid w:val="520B741F"/>
    <w:rsid w:val="520F4959"/>
    <w:rsid w:val="5228331B"/>
    <w:rsid w:val="522C7BD2"/>
    <w:rsid w:val="52546BE0"/>
    <w:rsid w:val="5256085B"/>
    <w:rsid w:val="525A34DF"/>
    <w:rsid w:val="525A3F1E"/>
    <w:rsid w:val="526B5CD8"/>
    <w:rsid w:val="52796533"/>
    <w:rsid w:val="527E1EAF"/>
    <w:rsid w:val="528154E1"/>
    <w:rsid w:val="52821DCF"/>
    <w:rsid w:val="5286646A"/>
    <w:rsid w:val="52AB4213"/>
    <w:rsid w:val="52AB4E82"/>
    <w:rsid w:val="52B10076"/>
    <w:rsid w:val="52B83E69"/>
    <w:rsid w:val="52C00A7B"/>
    <w:rsid w:val="52CE369A"/>
    <w:rsid w:val="52CE4647"/>
    <w:rsid w:val="52D0662E"/>
    <w:rsid w:val="52D4116F"/>
    <w:rsid w:val="52E10812"/>
    <w:rsid w:val="53181500"/>
    <w:rsid w:val="5324704B"/>
    <w:rsid w:val="532844A5"/>
    <w:rsid w:val="533275EA"/>
    <w:rsid w:val="53371D72"/>
    <w:rsid w:val="535329CF"/>
    <w:rsid w:val="536229A1"/>
    <w:rsid w:val="53680944"/>
    <w:rsid w:val="53735E2D"/>
    <w:rsid w:val="53946375"/>
    <w:rsid w:val="53955360"/>
    <w:rsid w:val="53BA70E2"/>
    <w:rsid w:val="53D53E56"/>
    <w:rsid w:val="53F14B53"/>
    <w:rsid w:val="53F34CC6"/>
    <w:rsid w:val="540966E5"/>
    <w:rsid w:val="54102A8B"/>
    <w:rsid w:val="54143D78"/>
    <w:rsid w:val="54190260"/>
    <w:rsid w:val="5435775B"/>
    <w:rsid w:val="54372316"/>
    <w:rsid w:val="543C416A"/>
    <w:rsid w:val="54472FC7"/>
    <w:rsid w:val="54493EE8"/>
    <w:rsid w:val="54523FEF"/>
    <w:rsid w:val="545324F3"/>
    <w:rsid w:val="545450E8"/>
    <w:rsid w:val="545D4AEF"/>
    <w:rsid w:val="54656D9A"/>
    <w:rsid w:val="5478456C"/>
    <w:rsid w:val="547C0049"/>
    <w:rsid w:val="548B1176"/>
    <w:rsid w:val="548B1762"/>
    <w:rsid w:val="54940D16"/>
    <w:rsid w:val="54B1251C"/>
    <w:rsid w:val="54B47241"/>
    <w:rsid w:val="54B501B9"/>
    <w:rsid w:val="54C350C0"/>
    <w:rsid w:val="54C811C0"/>
    <w:rsid w:val="54D375AF"/>
    <w:rsid w:val="54D43820"/>
    <w:rsid w:val="54E81862"/>
    <w:rsid w:val="55090D54"/>
    <w:rsid w:val="5512480D"/>
    <w:rsid w:val="551D46CB"/>
    <w:rsid w:val="551E79FB"/>
    <w:rsid w:val="551F63F4"/>
    <w:rsid w:val="55227341"/>
    <w:rsid w:val="552A3C87"/>
    <w:rsid w:val="555546D1"/>
    <w:rsid w:val="556332E3"/>
    <w:rsid w:val="556F0C2F"/>
    <w:rsid w:val="557378A7"/>
    <w:rsid w:val="557778BD"/>
    <w:rsid w:val="55A3370A"/>
    <w:rsid w:val="55A7600C"/>
    <w:rsid w:val="55A979A5"/>
    <w:rsid w:val="55B04E0E"/>
    <w:rsid w:val="55BA0C81"/>
    <w:rsid w:val="55BE13E1"/>
    <w:rsid w:val="55C83439"/>
    <w:rsid w:val="55C951EF"/>
    <w:rsid w:val="55D12164"/>
    <w:rsid w:val="55D73A2A"/>
    <w:rsid w:val="55DF5E54"/>
    <w:rsid w:val="55E639F3"/>
    <w:rsid w:val="55EA3F0F"/>
    <w:rsid w:val="55F12C7D"/>
    <w:rsid w:val="55FE1A7F"/>
    <w:rsid w:val="56025A4A"/>
    <w:rsid w:val="56074738"/>
    <w:rsid w:val="562B7D9A"/>
    <w:rsid w:val="56313334"/>
    <w:rsid w:val="563E5EE1"/>
    <w:rsid w:val="56582A17"/>
    <w:rsid w:val="565A2003"/>
    <w:rsid w:val="566E5D97"/>
    <w:rsid w:val="567A5C82"/>
    <w:rsid w:val="567F2C86"/>
    <w:rsid w:val="56805B7F"/>
    <w:rsid w:val="568E5ADC"/>
    <w:rsid w:val="569758CF"/>
    <w:rsid w:val="569E7605"/>
    <w:rsid w:val="56AB5910"/>
    <w:rsid w:val="56AC37A1"/>
    <w:rsid w:val="56C9121F"/>
    <w:rsid w:val="56D13B5B"/>
    <w:rsid w:val="56EC60B0"/>
    <w:rsid w:val="56EF2533"/>
    <w:rsid w:val="56F8516E"/>
    <w:rsid w:val="570B6A64"/>
    <w:rsid w:val="57112AD0"/>
    <w:rsid w:val="57323268"/>
    <w:rsid w:val="574E0A5D"/>
    <w:rsid w:val="57586D11"/>
    <w:rsid w:val="575E22AF"/>
    <w:rsid w:val="576D1C5D"/>
    <w:rsid w:val="576E7E8C"/>
    <w:rsid w:val="57835872"/>
    <w:rsid w:val="578B03DE"/>
    <w:rsid w:val="579902C4"/>
    <w:rsid w:val="57C55DDF"/>
    <w:rsid w:val="57E51B95"/>
    <w:rsid w:val="57EA7C48"/>
    <w:rsid w:val="57F239CD"/>
    <w:rsid w:val="57F4051E"/>
    <w:rsid w:val="57F71D93"/>
    <w:rsid w:val="57F91352"/>
    <w:rsid w:val="57FA3401"/>
    <w:rsid w:val="580528CF"/>
    <w:rsid w:val="5809137C"/>
    <w:rsid w:val="58154921"/>
    <w:rsid w:val="581F12B4"/>
    <w:rsid w:val="583B288D"/>
    <w:rsid w:val="583C745C"/>
    <w:rsid w:val="584069C2"/>
    <w:rsid w:val="584B0328"/>
    <w:rsid w:val="58524E7D"/>
    <w:rsid w:val="586302A8"/>
    <w:rsid w:val="588358C8"/>
    <w:rsid w:val="588457DD"/>
    <w:rsid w:val="58953892"/>
    <w:rsid w:val="58A217B5"/>
    <w:rsid w:val="58AB4956"/>
    <w:rsid w:val="58B373E6"/>
    <w:rsid w:val="58C27EDE"/>
    <w:rsid w:val="58C4021B"/>
    <w:rsid w:val="58D07940"/>
    <w:rsid w:val="58D25402"/>
    <w:rsid w:val="58DC5E43"/>
    <w:rsid w:val="58E20176"/>
    <w:rsid w:val="58E366F4"/>
    <w:rsid w:val="58F04D16"/>
    <w:rsid w:val="59017038"/>
    <w:rsid w:val="590D0D25"/>
    <w:rsid w:val="59113B0C"/>
    <w:rsid w:val="593C14DE"/>
    <w:rsid w:val="59577DDD"/>
    <w:rsid w:val="595B2044"/>
    <w:rsid w:val="595D52E9"/>
    <w:rsid w:val="59657925"/>
    <w:rsid w:val="59723DF0"/>
    <w:rsid w:val="597E4543"/>
    <w:rsid w:val="5982079B"/>
    <w:rsid w:val="599F4702"/>
    <w:rsid w:val="59AC0DD7"/>
    <w:rsid w:val="59AD127E"/>
    <w:rsid w:val="59B4106D"/>
    <w:rsid w:val="59BC4E3F"/>
    <w:rsid w:val="59D87E68"/>
    <w:rsid w:val="59E508D1"/>
    <w:rsid w:val="59EF4A9B"/>
    <w:rsid w:val="59FD0BD2"/>
    <w:rsid w:val="5A2910C3"/>
    <w:rsid w:val="5A2B4066"/>
    <w:rsid w:val="5A3668DE"/>
    <w:rsid w:val="5A5370EE"/>
    <w:rsid w:val="5A5A04D6"/>
    <w:rsid w:val="5A612F7B"/>
    <w:rsid w:val="5A69094D"/>
    <w:rsid w:val="5A8B704D"/>
    <w:rsid w:val="5A8F6573"/>
    <w:rsid w:val="5A9A23AA"/>
    <w:rsid w:val="5AA8049F"/>
    <w:rsid w:val="5AC37EA1"/>
    <w:rsid w:val="5AC446CF"/>
    <w:rsid w:val="5AC719A7"/>
    <w:rsid w:val="5AD068BF"/>
    <w:rsid w:val="5ADB19D9"/>
    <w:rsid w:val="5ADB5049"/>
    <w:rsid w:val="5ADB6CCA"/>
    <w:rsid w:val="5AE956B0"/>
    <w:rsid w:val="5AE95993"/>
    <w:rsid w:val="5AFD569C"/>
    <w:rsid w:val="5B0E3A7B"/>
    <w:rsid w:val="5B111C5F"/>
    <w:rsid w:val="5B120427"/>
    <w:rsid w:val="5B137584"/>
    <w:rsid w:val="5B2461F2"/>
    <w:rsid w:val="5B326423"/>
    <w:rsid w:val="5B53337B"/>
    <w:rsid w:val="5B547B00"/>
    <w:rsid w:val="5B6138A0"/>
    <w:rsid w:val="5B637E94"/>
    <w:rsid w:val="5B647BFC"/>
    <w:rsid w:val="5B6B1EF9"/>
    <w:rsid w:val="5B7C4DDD"/>
    <w:rsid w:val="5B942B74"/>
    <w:rsid w:val="5B946E1F"/>
    <w:rsid w:val="5B9862DE"/>
    <w:rsid w:val="5B9D63AE"/>
    <w:rsid w:val="5BA54009"/>
    <w:rsid w:val="5BAE1F98"/>
    <w:rsid w:val="5BC8740D"/>
    <w:rsid w:val="5BD3368C"/>
    <w:rsid w:val="5BEF03FF"/>
    <w:rsid w:val="5BF51909"/>
    <w:rsid w:val="5C1A445F"/>
    <w:rsid w:val="5C207101"/>
    <w:rsid w:val="5C2800B0"/>
    <w:rsid w:val="5C523F07"/>
    <w:rsid w:val="5C594DF3"/>
    <w:rsid w:val="5C683579"/>
    <w:rsid w:val="5CA249F5"/>
    <w:rsid w:val="5CA25A61"/>
    <w:rsid w:val="5CAA7AE8"/>
    <w:rsid w:val="5CB974F8"/>
    <w:rsid w:val="5CBA1365"/>
    <w:rsid w:val="5CC96B15"/>
    <w:rsid w:val="5CCB784C"/>
    <w:rsid w:val="5CD66571"/>
    <w:rsid w:val="5CD74E15"/>
    <w:rsid w:val="5CE75B7A"/>
    <w:rsid w:val="5CE77658"/>
    <w:rsid w:val="5CE859E2"/>
    <w:rsid w:val="5CFE7216"/>
    <w:rsid w:val="5D040F4A"/>
    <w:rsid w:val="5D233927"/>
    <w:rsid w:val="5D28505D"/>
    <w:rsid w:val="5D441C1B"/>
    <w:rsid w:val="5D485B37"/>
    <w:rsid w:val="5D57293F"/>
    <w:rsid w:val="5D5B0FA9"/>
    <w:rsid w:val="5D7B4641"/>
    <w:rsid w:val="5D83481E"/>
    <w:rsid w:val="5D8A30DD"/>
    <w:rsid w:val="5D924925"/>
    <w:rsid w:val="5D947362"/>
    <w:rsid w:val="5D98580F"/>
    <w:rsid w:val="5DAB1769"/>
    <w:rsid w:val="5DB4056C"/>
    <w:rsid w:val="5DB9616F"/>
    <w:rsid w:val="5DBB74DD"/>
    <w:rsid w:val="5DC056DB"/>
    <w:rsid w:val="5DCD770C"/>
    <w:rsid w:val="5DCF7CFD"/>
    <w:rsid w:val="5DD25D91"/>
    <w:rsid w:val="5DD7441A"/>
    <w:rsid w:val="5DD76F9E"/>
    <w:rsid w:val="5DDC5E00"/>
    <w:rsid w:val="5DDE4AAF"/>
    <w:rsid w:val="5DE15E25"/>
    <w:rsid w:val="5DE50A93"/>
    <w:rsid w:val="5DE83778"/>
    <w:rsid w:val="5DF57473"/>
    <w:rsid w:val="5E050755"/>
    <w:rsid w:val="5E07266A"/>
    <w:rsid w:val="5E08087F"/>
    <w:rsid w:val="5E093DFD"/>
    <w:rsid w:val="5E0F2269"/>
    <w:rsid w:val="5E125762"/>
    <w:rsid w:val="5E161EA3"/>
    <w:rsid w:val="5E1B2883"/>
    <w:rsid w:val="5E21323B"/>
    <w:rsid w:val="5E2C31F2"/>
    <w:rsid w:val="5E3C44F1"/>
    <w:rsid w:val="5E407837"/>
    <w:rsid w:val="5E426039"/>
    <w:rsid w:val="5E477D8A"/>
    <w:rsid w:val="5E4E5700"/>
    <w:rsid w:val="5E5915B7"/>
    <w:rsid w:val="5E597646"/>
    <w:rsid w:val="5E691B98"/>
    <w:rsid w:val="5E6C7CF0"/>
    <w:rsid w:val="5E7A2D94"/>
    <w:rsid w:val="5E8133EB"/>
    <w:rsid w:val="5E8A398A"/>
    <w:rsid w:val="5E8E2167"/>
    <w:rsid w:val="5E9D48DE"/>
    <w:rsid w:val="5EAC0C70"/>
    <w:rsid w:val="5EAD4245"/>
    <w:rsid w:val="5ECC7AFE"/>
    <w:rsid w:val="5ECD36AD"/>
    <w:rsid w:val="5EEB7D61"/>
    <w:rsid w:val="5EF64B7B"/>
    <w:rsid w:val="5F0A7240"/>
    <w:rsid w:val="5F114671"/>
    <w:rsid w:val="5F127964"/>
    <w:rsid w:val="5F22168F"/>
    <w:rsid w:val="5F2C7C0A"/>
    <w:rsid w:val="5F323FA4"/>
    <w:rsid w:val="5F5C6959"/>
    <w:rsid w:val="5F5D17E1"/>
    <w:rsid w:val="5FA07832"/>
    <w:rsid w:val="5FA3799F"/>
    <w:rsid w:val="5FB4620A"/>
    <w:rsid w:val="5FC72522"/>
    <w:rsid w:val="5FD31842"/>
    <w:rsid w:val="5FDC7041"/>
    <w:rsid w:val="5FF354C2"/>
    <w:rsid w:val="5FF72EF1"/>
    <w:rsid w:val="5FFB24EA"/>
    <w:rsid w:val="5FFB637A"/>
    <w:rsid w:val="600B7E95"/>
    <w:rsid w:val="601C667E"/>
    <w:rsid w:val="602E4C0F"/>
    <w:rsid w:val="603D7B36"/>
    <w:rsid w:val="60493978"/>
    <w:rsid w:val="606C6751"/>
    <w:rsid w:val="60765FE7"/>
    <w:rsid w:val="608857EA"/>
    <w:rsid w:val="608B6536"/>
    <w:rsid w:val="609754FA"/>
    <w:rsid w:val="609944B2"/>
    <w:rsid w:val="609F0125"/>
    <w:rsid w:val="60A76A75"/>
    <w:rsid w:val="60B44395"/>
    <w:rsid w:val="60BD5AB0"/>
    <w:rsid w:val="60C43D77"/>
    <w:rsid w:val="60C85787"/>
    <w:rsid w:val="60CE5DB0"/>
    <w:rsid w:val="60CF1627"/>
    <w:rsid w:val="60F36059"/>
    <w:rsid w:val="60FA6547"/>
    <w:rsid w:val="60FD30E8"/>
    <w:rsid w:val="610602BD"/>
    <w:rsid w:val="61167815"/>
    <w:rsid w:val="61171AD9"/>
    <w:rsid w:val="611C1E10"/>
    <w:rsid w:val="6123436F"/>
    <w:rsid w:val="6125017C"/>
    <w:rsid w:val="612834E8"/>
    <w:rsid w:val="61290CBB"/>
    <w:rsid w:val="612C6474"/>
    <w:rsid w:val="613E3184"/>
    <w:rsid w:val="61422F13"/>
    <w:rsid w:val="614671E7"/>
    <w:rsid w:val="614B388E"/>
    <w:rsid w:val="615143EB"/>
    <w:rsid w:val="6165637C"/>
    <w:rsid w:val="616F53CB"/>
    <w:rsid w:val="617224CB"/>
    <w:rsid w:val="61797FF9"/>
    <w:rsid w:val="61815EAF"/>
    <w:rsid w:val="61824FF8"/>
    <w:rsid w:val="61870C69"/>
    <w:rsid w:val="61893AF9"/>
    <w:rsid w:val="61A27032"/>
    <w:rsid w:val="61B45E91"/>
    <w:rsid w:val="61C713C2"/>
    <w:rsid w:val="61CD4DED"/>
    <w:rsid w:val="61D02DC1"/>
    <w:rsid w:val="61D12D94"/>
    <w:rsid w:val="61E44F1F"/>
    <w:rsid w:val="61F90B37"/>
    <w:rsid w:val="620B4C29"/>
    <w:rsid w:val="62214F56"/>
    <w:rsid w:val="62354CD3"/>
    <w:rsid w:val="624078B7"/>
    <w:rsid w:val="624413F5"/>
    <w:rsid w:val="624D3077"/>
    <w:rsid w:val="62512751"/>
    <w:rsid w:val="62620F0A"/>
    <w:rsid w:val="628030AC"/>
    <w:rsid w:val="6287090C"/>
    <w:rsid w:val="6288219D"/>
    <w:rsid w:val="628A3C15"/>
    <w:rsid w:val="629823EF"/>
    <w:rsid w:val="62987D63"/>
    <w:rsid w:val="62AA63A9"/>
    <w:rsid w:val="62B0320B"/>
    <w:rsid w:val="62B40FD5"/>
    <w:rsid w:val="62C13218"/>
    <w:rsid w:val="62CA36C8"/>
    <w:rsid w:val="62D71524"/>
    <w:rsid w:val="62E226E4"/>
    <w:rsid w:val="6309176E"/>
    <w:rsid w:val="63114383"/>
    <w:rsid w:val="63183FBB"/>
    <w:rsid w:val="631901F1"/>
    <w:rsid w:val="63250F34"/>
    <w:rsid w:val="632802AD"/>
    <w:rsid w:val="632A7B63"/>
    <w:rsid w:val="633E3191"/>
    <w:rsid w:val="633F0E1D"/>
    <w:rsid w:val="6355486D"/>
    <w:rsid w:val="63590ADA"/>
    <w:rsid w:val="63663E24"/>
    <w:rsid w:val="636F2935"/>
    <w:rsid w:val="637211BC"/>
    <w:rsid w:val="6390261C"/>
    <w:rsid w:val="639376FB"/>
    <w:rsid w:val="639D2705"/>
    <w:rsid w:val="639F113C"/>
    <w:rsid w:val="63B23DA0"/>
    <w:rsid w:val="63C67426"/>
    <w:rsid w:val="63C74E5A"/>
    <w:rsid w:val="63CF43D3"/>
    <w:rsid w:val="63D11B5B"/>
    <w:rsid w:val="63D13183"/>
    <w:rsid w:val="63DB3871"/>
    <w:rsid w:val="63DD167C"/>
    <w:rsid w:val="63DF3200"/>
    <w:rsid w:val="63E1154E"/>
    <w:rsid w:val="63ED7C94"/>
    <w:rsid w:val="640B4148"/>
    <w:rsid w:val="64170565"/>
    <w:rsid w:val="6423630F"/>
    <w:rsid w:val="64284CD1"/>
    <w:rsid w:val="643674C4"/>
    <w:rsid w:val="64475A8C"/>
    <w:rsid w:val="64543138"/>
    <w:rsid w:val="645A75FF"/>
    <w:rsid w:val="64663C09"/>
    <w:rsid w:val="646F0534"/>
    <w:rsid w:val="647071BA"/>
    <w:rsid w:val="647F4E8D"/>
    <w:rsid w:val="648669A1"/>
    <w:rsid w:val="648A5A6D"/>
    <w:rsid w:val="64900E70"/>
    <w:rsid w:val="64985C85"/>
    <w:rsid w:val="64D8544F"/>
    <w:rsid w:val="64D914B2"/>
    <w:rsid w:val="64E72932"/>
    <w:rsid w:val="64EF55D2"/>
    <w:rsid w:val="64FF007C"/>
    <w:rsid w:val="650746B3"/>
    <w:rsid w:val="650E4002"/>
    <w:rsid w:val="65134974"/>
    <w:rsid w:val="651472A8"/>
    <w:rsid w:val="652750B8"/>
    <w:rsid w:val="65275515"/>
    <w:rsid w:val="653737BC"/>
    <w:rsid w:val="65406E48"/>
    <w:rsid w:val="6560706A"/>
    <w:rsid w:val="657345AC"/>
    <w:rsid w:val="658D25CD"/>
    <w:rsid w:val="65A47618"/>
    <w:rsid w:val="65B6636F"/>
    <w:rsid w:val="65D30A9A"/>
    <w:rsid w:val="65D43B30"/>
    <w:rsid w:val="65FC19F1"/>
    <w:rsid w:val="660D04CE"/>
    <w:rsid w:val="662A0C23"/>
    <w:rsid w:val="66315FE2"/>
    <w:rsid w:val="664938C6"/>
    <w:rsid w:val="665E3D3D"/>
    <w:rsid w:val="666946E0"/>
    <w:rsid w:val="66782A2E"/>
    <w:rsid w:val="669C0647"/>
    <w:rsid w:val="66A87087"/>
    <w:rsid w:val="66B22FCD"/>
    <w:rsid w:val="66B25DAA"/>
    <w:rsid w:val="66CA5469"/>
    <w:rsid w:val="66CF7EDF"/>
    <w:rsid w:val="66E71EDC"/>
    <w:rsid w:val="66F07297"/>
    <w:rsid w:val="66F973CA"/>
    <w:rsid w:val="66FB71D3"/>
    <w:rsid w:val="67036AFC"/>
    <w:rsid w:val="67234932"/>
    <w:rsid w:val="67271E50"/>
    <w:rsid w:val="67383895"/>
    <w:rsid w:val="67400E22"/>
    <w:rsid w:val="674C7B84"/>
    <w:rsid w:val="67512F25"/>
    <w:rsid w:val="675F2A59"/>
    <w:rsid w:val="67652F2B"/>
    <w:rsid w:val="676B0C53"/>
    <w:rsid w:val="678331CA"/>
    <w:rsid w:val="6784586A"/>
    <w:rsid w:val="678D6EC8"/>
    <w:rsid w:val="67AA4C14"/>
    <w:rsid w:val="67B90F77"/>
    <w:rsid w:val="67BE0ACE"/>
    <w:rsid w:val="67CB5CAE"/>
    <w:rsid w:val="67D815BC"/>
    <w:rsid w:val="67DC6A18"/>
    <w:rsid w:val="67E06B45"/>
    <w:rsid w:val="67E412D5"/>
    <w:rsid w:val="67E673A0"/>
    <w:rsid w:val="67F92DA5"/>
    <w:rsid w:val="67FC0ADC"/>
    <w:rsid w:val="68015EF6"/>
    <w:rsid w:val="68144C72"/>
    <w:rsid w:val="68155239"/>
    <w:rsid w:val="68201569"/>
    <w:rsid w:val="682836D6"/>
    <w:rsid w:val="68441F69"/>
    <w:rsid w:val="684857B9"/>
    <w:rsid w:val="6850689B"/>
    <w:rsid w:val="685D7568"/>
    <w:rsid w:val="686434A4"/>
    <w:rsid w:val="686B0388"/>
    <w:rsid w:val="686F60CA"/>
    <w:rsid w:val="68780E7B"/>
    <w:rsid w:val="6881266A"/>
    <w:rsid w:val="68831B76"/>
    <w:rsid w:val="689A6B18"/>
    <w:rsid w:val="689B704C"/>
    <w:rsid w:val="689C256B"/>
    <w:rsid w:val="68A861AD"/>
    <w:rsid w:val="68B116B9"/>
    <w:rsid w:val="68CC6D36"/>
    <w:rsid w:val="68CF6B14"/>
    <w:rsid w:val="68D06321"/>
    <w:rsid w:val="68DA61EE"/>
    <w:rsid w:val="69033C05"/>
    <w:rsid w:val="690B6937"/>
    <w:rsid w:val="692B577A"/>
    <w:rsid w:val="692C3F53"/>
    <w:rsid w:val="69345365"/>
    <w:rsid w:val="693B63F9"/>
    <w:rsid w:val="693E3CEF"/>
    <w:rsid w:val="6942022F"/>
    <w:rsid w:val="69476C97"/>
    <w:rsid w:val="695B7E69"/>
    <w:rsid w:val="695D327C"/>
    <w:rsid w:val="696B6DA8"/>
    <w:rsid w:val="697679A5"/>
    <w:rsid w:val="697C0DC9"/>
    <w:rsid w:val="697D18B3"/>
    <w:rsid w:val="69845CF3"/>
    <w:rsid w:val="69932358"/>
    <w:rsid w:val="699A01B0"/>
    <w:rsid w:val="69AD2EBF"/>
    <w:rsid w:val="69B219B6"/>
    <w:rsid w:val="69B612A6"/>
    <w:rsid w:val="69C2222A"/>
    <w:rsid w:val="69C25676"/>
    <w:rsid w:val="69C867B0"/>
    <w:rsid w:val="69CE6697"/>
    <w:rsid w:val="69DB5AF9"/>
    <w:rsid w:val="69F960D9"/>
    <w:rsid w:val="69FE09F0"/>
    <w:rsid w:val="69FF7E3C"/>
    <w:rsid w:val="6A0762D2"/>
    <w:rsid w:val="6A175C06"/>
    <w:rsid w:val="6A1808BA"/>
    <w:rsid w:val="6A344707"/>
    <w:rsid w:val="6A3749C6"/>
    <w:rsid w:val="6A3D1519"/>
    <w:rsid w:val="6A4843DB"/>
    <w:rsid w:val="6A505F72"/>
    <w:rsid w:val="6A535578"/>
    <w:rsid w:val="6A576CBC"/>
    <w:rsid w:val="6A6F29C5"/>
    <w:rsid w:val="6A701CB4"/>
    <w:rsid w:val="6A8027AB"/>
    <w:rsid w:val="6A896156"/>
    <w:rsid w:val="6A961D7B"/>
    <w:rsid w:val="6AA90B33"/>
    <w:rsid w:val="6ABB58D9"/>
    <w:rsid w:val="6AC14644"/>
    <w:rsid w:val="6AC90303"/>
    <w:rsid w:val="6AFE7CBB"/>
    <w:rsid w:val="6B24757B"/>
    <w:rsid w:val="6B275C14"/>
    <w:rsid w:val="6B3177CA"/>
    <w:rsid w:val="6B390429"/>
    <w:rsid w:val="6B7B15F7"/>
    <w:rsid w:val="6B814837"/>
    <w:rsid w:val="6B973AB3"/>
    <w:rsid w:val="6BA8013B"/>
    <w:rsid w:val="6BAC5047"/>
    <w:rsid w:val="6BB47A02"/>
    <w:rsid w:val="6BB65F7D"/>
    <w:rsid w:val="6BC372AB"/>
    <w:rsid w:val="6BC60470"/>
    <w:rsid w:val="6BC62273"/>
    <w:rsid w:val="6BD80FCF"/>
    <w:rsid w:val="6BE15E7C"/>
    <w:rsid w:val="6BE47D6F"/>
    <w:rsid w:val="6BEA3CBA"/>
    <w:rsid w:val="6BF10523"/>
    <w:rsid w:val="6BFB664D"/>
    <w:rsid w:val="6C0A652A"/>
    <w:rsid w:val="6C1F18E2"/>
    <w:rsid w:val="6C3013C3"/>
    <w:rsid w:val="6C36716C"/>
    <w:rsid w:val="6C4C19B1"/>
    <w:rsid w:val="6C573720"/>
    <w:rsid w:val="6C635255"/>
    <w:rsid w:val="6C6D0151"/>
    <w:rsid w:val="6C990208"/>
    <w:rsid w:val="6C9A3FEF"/>
    <w:rsid w:val="6C9E66A5"/>
    <w:rsid w:val="6CA5694B"/>
    <w:rsid w:val="6CB7074E"/>
    <w:rsid w:val="6CBB3391"/>
    <w:rsid w:val="6CBC1746"/>
    <w:rsid w:val="6CBE0F61"/>
    <w:rsid w:val="6CC91B21"/>
    <w:rsid w:val="6CCD76AA"/>
    <w:rsid w:val="6CEB3CEF"/>
    <w:rsid w:val="6CFF7356"/>
    <w:rsid w:val="6D0447B5"/>
    <w:rsid w:val="6D0C78D6"/>
    <w:rsid w:val="6D0E5A12"/>
    <w:rsid w:val="6D112402"/>
    <w:rsid w:val="6D187439"/>
    <w:rsid w:val="6D195F17"/>
    <w:rsid w:val="6D1A1189"/>
    <w:rsid w:val="6D1A412B"/>
    <w:rsid w:val="6D430645"/>
    <w:rsid w:val="6D4C4D1C"/>
    <w:rsid w:val="6D4E2192"/>
    <w:rsid w:val="6D5050A0"/>
    <w:rsid w:val="6D597BED"/>
    <w:rsid w:val="6D5A3742"/>
    <w:rsid w:val="6D6658F8"/>
    <w:rsid w:val="6D69067E"/>
    <w:rsid w:val="6D755548"/>
    <w:rsid w:val="6D9B53AF"/>
    <w:rsid w:val="6DA22AD6"/>
    <w:rsid w:val="6DB03F0C"/>
    <w:rsid w:val="6DB55CAD"/>
    <w:rsid w:val="6DB7784C"/>
    <w:rsid w:val="6DBC34B3"/>
    <w:rsid w:val="6DD466D1"/>
    <w:rsid w:val="6DD66160"/>
    <w:rsid w:val="6DDC6DA0"/>
    <w:rsid w:val="6DDE601E"/>
    <w:rsid w:val="6DDE6BD2"/>
    <w:rsid w:val="6DF04C57"/>
    <w:rsid w:val="6DFD0BC3"/>
    <w:rsid w:val="6DFF0578"/>
    <w:rsid w:val="6E0837FF"/>
    <w:rsid w:val="6E0862F1"/>
    <w:rsid w:val="6E0927D8"/>
    <w:rsid w:val="6E092A6C"/>
    <w:rsid w:val="6E13702B"/>
    <w:rsid w:val="6E2D1FF6"/>
    <w:rsid w:val="6E3116F2"/>
    <w:rsid w:val="6E3552A1"/>
    <w:rsid w:val="6E3A7B00"/>
    <w:rsid w:val="6E3B5734"/>
    <w:rsid w:val="6E4B23E3"/>
    <w:rsid w:val="6E4E2B78"/>
    <w:rsid w:val="6E57007A"/>
    <w:rsid w:val="6E583825"/>
    <w:rsid w:val="6E5A106E"/>
    <w:rsid w:val="6E6946D0"/>
    <w:rsid w:val="6E814716"/>
    <w:rsid w:val="6E870AD5"/>
    <w:rsid w:val="6E8B56DA"/>
    <w:rsid w:val="6E8F6D48"/>
    <w:rsid w:val="6E9E13FD"/>
    <w:rsid w:val="6EA73FE0"/>
    <w:rsid w:val="6EA824A5"/>
    <w:rsid w:val="6EB83BFB"/>
    <w:rsid w:val="6EBA75AC"/>
    <w:rsid w:val="6ED27939"/>
    <w:rsid w:val="6ED34F5B"/>
    <w:rsid w:val="6EDD18B4"/>
    <w:rsid w:val="6EDE662B"/>
    <w:rsid w:val="6EE60DD7"/>
    <w:rsid w:val="6EE97FFA"/>
    <w:rsid w:val="6EFD7AB4"/>
    <w:rsid w:val="6F01646E"/>
    <w:rsid w:val="6F05728A"/>
    <w:rsid w:val="6F0A4DCC"/>
    <w:rsid w:val="6F126549"/>
    <w:rsid w:val="6F262100"/>
    <w:rsid w:val="6F305E87"/>
    <w:rsid w:val="6F34777A"/>
    <w:rsid w:val="6F3B5B59"/>
    <w:rsid w:val="6F4B2CC1"/>
    <w:rsid w:val="6F6246BF"/>
    <w:rsid w:val="6F6630C7"/>
    <w:rsid w:val="6F8070EC"/>
    <w:rsid w:val="6F8459D9"/>
    <w:rsid w:val="6F873409"/>
    <w:rsid w:val="6F8B0F2D"/>
    <w:rsid w:val="6F8E0F73"/>
    <w:rsid w:val="6FAC3760"/>
    <w:rsid w:val="6FB324EA"/>
    <w:rsid w:val="6FBD6E8E"/>
    <w:rsid w:val="6FC07157"/>
    <w:rsid w:val="6FC902EA"/>
    <w:rsid w:val="6FCB0F82"/>
    <w:rsid w:val="6FCC6813"/>
    <w:rsid w:val="6FD84D27"/>
    <w:rsid w:val="6FDD6EA2"/>
    <w:rsid w:val="6FE23FDC"/>
    <w:rsid w:val="6FE244F2"/>
    <w:rsid w:val="6FE33D61"/>
    <w:rsid w:val="6FF145A9"/>
    <w:rsid w:val="6FFE40B8"/>
    <w:rsid w:val="7014016C"/>
    <w:rsid w:val="701B3282"/>
    <w:rsid w:val="702B0C8E"/>
    <w:rsid w:val="704627CF"/>
    <w:rsid w:val="705034D2"/>
    <w:rsid w:val="70676B95"/>
    <w:rsid w:val="70687D34"/>
    <w:rsid w:val="70793E44"/>
    <w:rsid w:val="707B620C"/>
    <w:rsid w:val="708074FC"/>
    <w:rsid w:val="708C4E79"/>
    <w:rsid w:val="709539C7"/>
    <w:rsid w:val="70A00DEB"/>
    <w:rsid w:val="70B3408A"/>
    <w:rsid w:val="70BA3E7C"/>
    <w:rsid w:val="70C0170A"/>
    <w:rsid w:val="70C7241D"/>
    <w:rsid w:val="70D23F0B"/>
    <w:rsid w:val="70E231B1"/>
    <w:rsid w:val="70FF310F"/>
    <w:rsid w:val="71061C99"/>
    <w:rsid w:val="71087F0F"/>
    <w:rsid w:val="710A0669"/>
    <w:rsid w:val="71136E41"/>
    <w:rsid w:val="712F2230"/>
    <w:rsid w:val="713D769E"/>
    <w:rsid w:val="714F2A58"/>
    <w:rsid w:val="71537E78"/>
    <w:rsid w:val="717F3ECA"/>
    <w:rsid w:val="71A970DB"/>
    <w:rsid w:val="71AD24E7"/>
    <w:rsid w:val="71B16C37"/>
    <w:rsid w:val="71B87DA4"/>
    <w:rsid w:val="71C43CBD"/>
    <w:rsid w:val="71D9768D"/>
    <w:rsid w:val="71DD3327"/>
    <w:rsid w:val="71F4723B"/>
    <w:rsid w:val="72077DE6"/>
    <w:rsid w:val="721156AE"/>
    <w:rsid w:val="72236A79"/>
    <w:rsid w:val="72285A6E"/>
    <w:rsid w:val="722C5396"/>
    <w:rsid w:val="7235519C"/>
    <w:rsid w:val="72377F63"/>
    <w:rsid w:val="72466151"/>
    <w:rsid w:val="724C214C"/>
    <w:rsid w:val="72515FC0"/>
    <w:rsid w:val="72621C8A"/>
    <w:rsid w:val="72695938"/>
    <w:rsid w:val="72706649"/>
    <w:rsid w:val="72757DED"/>
    <w:rsid w:val="7276486C"/>
    <w:rsid w:val="727735C3"/>
    <w:rsid w:val="728A025F"/>
    <w:rsid w:val="72A050D2"/>
    <w:rsid w:val="72AA012A"/>
    <w:rsid w:val="72B22A09"/>
    <w:rsid w:val="72B77112"/>
    <w:rsid w:val="72BD1071"/>
    <w:rsid w:val="72C845AA"/>
    <w:rsid w:val="72ED1B64"/>
    <w:rsid w:val="72F952B8"/>
    <w:rsid w:val="72FC03AA"/>
    <w:rsid w:val="72FD3233"/>
    <w:rsid w:val="7314409B"/>
    <w:rsid w:val="73171559"/>
    <w:rsid w:val="732851BB"/>
    <w:rsid w:val="73377DB5"/>
    <w:rsid w:val="73484FB5"/>
    <w:rsid w:val="735D39B8"/>
    <w:rsid w:val="735F6753"/>
    <w:rsid w:val="7361157D"/>
    <w:rsid w:val="73653995"/>
    <w:rsid w:val="73667774"/>
    <w:rsid w:val="737F1C2F"/>
    <w:rsid w:val="73834907"/>
    <w:rsid w:val="73982421"/>
    <w:rsid w:val="739C5ED4"/>
    <w:rsid w:val="73AA1159"/>
    <w:rsid w:val="73C56A11"/>
    <w:rsid w:val="73C9432D"/>
    <w:rsid w:val="73CC5F32"/>
    <w:rsid w:val="73D45AD8"/>
    <w:rsid w:val="73E77741"/>
    <w:rsid w:val="73EF368D"/>
    <w:rsid w:val="73F113C0"/>
    <w:rsid w:val="74011AB8"/>
    <w:rsid w:val="74152F8C"/>
    <w:rsid w:val="743C6491"/>
    <w:rsid w:val="74463A57"/>
    <w:rsid w:val="745A3AB0"/>
    <w:rsid w:val="745C429C"/>
    <w:rsid w:val="74635C85"/>
    <w:rsid w:val="74636179"/>
    <w:rsid w:val="746969E4"/>
    <w:rsid w:val="74726E56"/>
    <w:rsid w:val="74787C66"/>
    <w:rsid w:val="747E22D1"/>
    <w:rsid w:val="748922C2"/>
    <w:rsid w:val="74933140"/>
    <w:rsid w:val="74943930"/>
    <w:rsid w:val="74B15F1C"/>
    <w:rsid w:val="74D92329"/>
    <w:rsid w:val="74DB6E8B"/>
    <w:rsid w:val="74DE2DDA"/>
    <w:rsid w:val="74E456C3"/>
    <w:rsid w:val="74F25E11"/>
    <w:rsid w:val="74FB3A1E"/>
    <w:rsid w:val="750D0027"/>
    <w:rsid w:val="75180231"/>
    <w:rsid w:val="751C72DC"/>
    <w:rsid w:val="75214080"/>
    <w:rsid w:val="753F4411"/>
    <w:rsid w:val="7542441C"/>
    <w:rsid w:val="755D08AE"/>
    <w:rsid w:val="756F2379"/>
    <w:rsid w:val="7576094A"/>
    <w:rsid w:val="75842A89"/>
    <w:rsid w:val="759233F8"/>
    <w:rsid w:val="75A167F5"/>
    <w:rsid w:val="75B65C93"/>
    <w:rsid w:val="75C22B79"/>
    <w:rsid w:val="75D03F20"/>
    <w:rsid w:val="75D7700D"/>
    <w:rsid w:val="75DC1466"/>
    <w:rsid w:val="75E47378"/>
    <w:rsid w:val="75EA3ACD"/>
    <w:rsid w:val="75F045A2"/>
    <w:rsid w:val="7601214F"/>
    <w:rsid w:val="760152CE"/>
    <w:rsid w:val="760C04B6"/>
    <w:rsid w:val="76162A00"/>
    <w:rsid w:val="76242A5F"/>
    <w:rsid w:val="76325A49"/>
    <w:rsid w:val="763E1393"/>
    <w:rsid w:val="7644309F"/>
    <w:rsid w:val="76493495"/>
    <w:rsid w:val="765F75BE"/>
    <w:rsid w:val="76611468"/>
    <w:rsid w:val="766D26ED"/>
    <w:rsid w:val="766E3F27"/>
    <w:rsid w:val="7672768C"/>
    <w:rsid w:val="76732207"/>
    <w:rsid w:val="767D34AD"/>
    <w:rsid w:val="76873D9C"/>
    <w:rsid w:val="769C0B21"/>
    <w:rsid w:val="76A36AD3"/>
    <w:rsid w:val="76A71DF8"/>
    <w:rsid w:val="76B33626"/>
    <w:rsid w:val="76B803DA"/>
    <w:rsid w:val="76C07CC3"/>
    <w:rsid w:val="76C804C0"/>
    <w:rsid w:val="76CB2DB9"/>
    <w:rsid w:val="76D05C75"/>
    <w:rsid w:val="76DC0FA8"/>
    <w:rsid w:val="76E52A67"/>
    <w:rsid w:val="76E91E7B"/>
    <w:rsid w:val="76EB152C"/>
    <w:rsid w:val="76FA4FC1"/>
    <w:rsid w:val="77165239"/>
    <w:rsid w:val="774F7675"/>
    <w:rsid w:val="7764474D"/>
    <w:rsid w:val="77670C4F"/>
    <w:rsid w:val="77757F8C"/>
    <w:rsid w:val="77892C13"/>
    <w:rsid w:val="779558C3"/>
    <w:rsid w:val="77973DE7"/>
    <w:rsid w:val="7798022C"/>
    <w:rsid w:val="779C78D2"/>
    <w:rsid w:val="77BD4E50"/>
    <w:rsid w:val="77BF3AF9"/>
    <w:rsid w:val="77E248F6"/>
    <w:rsid w:val="77E32EA6"/>
    <w:rsid w:val="77E65D08"/>
    <w:rsid w:val="77E82338"/>
    <w:rsid w:val="77E93077"/>
    <w:rsid w:val="78061F26"/>
    <w:rsid w:val="78131D51"/>
    <w:rsid w:val="781B08C4"/>
    <w:rsid w:val="781F3BC0"/>
    <w:rsid w:val="78206B4E"/>
    <w:rsid w:val="78212CB7"/>
    <w:rsid w:val="78236AC7"/>
    <w:rsid w:val="782818E0"/>
    <w:rsid w:val="78373351"/>
    <w:rsid w:val="784D0B26"/>
    <w:rsid w:val="78521B17"/>
    <w:rsid w:val="78725CB7"/>
    <w:rsid w:val="789739B4"/>
    <w:rsid w:val="789A73A5"/>
    <w:rsid w:val="78B07ACC"/>
    <w:rsid w:val="78C94123"/>
    <w:rsid w:val="78E771ED"/>
    <w:rsid w:val="78F46178"/>
    <w:rsid w:val="790912B9"/>
    <w:rsid w:val="791B02A4"/>
    <w:rsid w:val="79246493"/>
    <w:rsid w:val="793B49FC"/>
    <w:rsid w:val="79417873"/>
    <w:rsid w:val="7942732B"/>
    <w:rsid w:val="79496226"/>
    <w:rsid w:val="794E62C1"/>
    <w:rsid w:val="79653CC3"/>
    <w:rsid w:val="79731A23"/>
    <w:rsid w:val="79756079"/>
    <w:rsid w:val="797A2A83"/>
    <w:rsid w:val="79864549"/>
    <w:rsid w:val="798B6994"/>
    <w:rsid w:val="7990238C"/>
    <w:rsid w:val="79A2408B"/>
    <w:rsid w:val="79B322BE"/>
    <w:rsid w:val="79C41BC8"/>
    <w:rsid w:val="79CF1590"/>
    <w:rsid w:val="79D71FD6"/>
    <w:rsid w:val="79DB60A8"/>
    <w:rsid w:val="79E23A8A"/>
    <w:rsid w:val="79EB6947"/>
    <w:rsid w:val="7A000FF3"/>
    <w:rsid w:val="7A1C4EA3"/>
    <w:rsid w:val="7A1D20EE"/>
    <w:rsid w:val="7A336C3F"/>
    <w:rsid w:val="7A347061"/>
    <w:rsid w:val="7A3726E2"/>
    <w:rsid w:val="7A3D1050"/>
    <w:rsid w:val="7A51514E"/>
    <w:rsid w:val="7A551F3B"/>
    <w:rsid w:val="7A7B34AC"/>
    <w:rsid w:val="7A8101B7"/>
    <w:rsid w:val="7A8A1F1D"/>
    <w:rsid w:val="7A9814B1"/>
    <w:rsid w:val="7A9D03EC"/>
    <w:rsid w:val="7AA42D59"/>
    <w:rsid w:val="7AA80FC8"/>
    <w:rsid w:val="7ABF5542"/>
    <w:rsid w:val="7ADD7F8F"/>
    <w:rsid w:val="7ADF7B8D"/>
    <w:rsid w:val="7AEE3130"/>
    <w:rsid w:val="7AF95E48"/>
    <w:rsid w:val="7B0956CD"/>
    <w:rsid w:val="7B226609"/>
    <w:rsid w:val="7B386C3D"/>
    <w:rsid w:val="7B727E28"/>
    <w:rsid w:val="7B746293"/>
    <w:rsid w:val="7B786923"/>
    <w:rsid w:val="7B7C1EAE"/>
    <w:rsid w:val="7B7F531E"/>
    <w:rsid w:val="7B8134D7"/>
    <w:rsid w:val="7B8677FF"/>
    <w:rsid w:val="7B8C133E"/>
    <w:rsid w:val="7B914152"/>
    <w:rsid w:val="7B967B05"/>
    <w:rsid w:val="7BA55ADA"/>
    <w:rsid w:val="7BB234E0"/>
    <w:rsid w:val="7BB77660"/>
    <w:rsid w:val="7BBA3009"/>
    <w:rsid w:val="7BC942C6"/>
    <w:rsid w:val="7BCC7169"/>
    <w:rsid w:val="7BE67401"/>
    <w:rsid w:val="7BF418F4"/>
    <w:rsid w:val="7C1A6112"/>
    <w:rsid w:val="7C2D3E7B"/>
    <w:rsid w:val="7C2E0782"/>
    <w:rsid w:val="7C3A314B"/>
    <w:rsid w:val="7C3C58BE"/>
    <w:rsid w:val="7C40367F"/>
    <w:rsid w:val="7C4F3CD5"/>
    <w:rsid w:val="7C637673"/>
    <w:rsid w:val="7C7721CF"/>
    <w:rsid w:val="7C7A63C9"/>
    <w:rsid w:val="7C7E4FA8"/>
    <w:rsid w:val="7C875652"/>
    <w:rsid w:val="7C987243"/>
    <w:rsid w:val="7CA10CC1"/>
    <w:rsid w:val="7CB83F7A"/>
    <w:rsid w:val="7CBF2607"/>
    <w:rsid w:val="7CE31BBB"/>
    <w:rsid w:val="7D304837"/>
    <w:rsid w:val="7D41750A"/>
    <w:rsid w:val="7D443E63"/>
    <w:rsid w:val="7D4A6436"/>
    <w:rsid w:val="7D4A6A3D"/>
    <w:rsid w:val="7D4E7F04"/>
    <w:rsid w:val="7D564F7C"/>
    <w:rsid w:val="7D5860A4"/>
    <w:rsid w:val="7D664489"/>
    <w:rsid w:val="7D6D6E54"/>
    <w:rsid w:val="7D72769A"/>
    <w:rsid w:val="7D7D408B"/>
    <w:rsid w:val="7D860A2D"/>
    <w:rsid w:val="7D941C39"/>
    <w:rsid w:val="7D990E28"/>
    <w:rsid w:val="7DA6729B"/>
    <w:rsid w:val="7DA708AC"/>
    <w:rsid w:val="7DAE35D9"/>
    <w:rsid w:val="7DB13F41"/>
    <w:rsid w:val="7DD32800"/>
    <w:rsid w:val="7DD63573"/>
    <w:rsid w:val="7DD94854"/>
    <w:rsid w:val="7DEF2670"/>
    <w:rsid w:val="7E132BFC"/>
    <w:rsid w:val="7E1B5D56"/>
    <w:rsid w:val="7E3E606D"/>
    <w:rsid w:val="7E500A3A"/>
    <w:rsid w:val="7E627DC8"/>
    <w:rsid w:val="7E65294B"/>
    <w:rsid w:val="7E721CE2"/>
    <w:rsid w:val="7E752EA4"/>
    <w:rsid w:val="7E826CE6"/>
    <w:rsid w:val="7E8360F6"/>
    <w:rsid w:val="7E8B3C90"/>
    <w:rsid w:val="7E906943"/>
    <w:rsid w:val="7E9279BB"/>
    <w:rsid w:val="7EB27E3C"/>
    <w:rsid w:val="7EBD2BD8"/>
    <w:rsid w:val="7EDA2E93"/>
    <w:rsid w:val="7EE364F0"/>
    <w:rsid w:val="7EEF3C9B"/>
    <w:rsid w:val="7EF25E3E"/>
    <w:rsid w:val="7EF648E9"/>
    <w:rsid w:val="7F031196"/>
    <w:rsid w:val="7F062761"/>
    <w:rsid w:val="7F0A3FFF"/>
    <w:rsid w:val="7F0D593F"/>
    <w:rsid w:val="7F130924"/>
    <w:rsid w:val="7F1B08E8"/>
    <w:rsid w:val="7F273351"/>
    <w:rsid w:val="7F2910D5"/>
    <w:rsid w:val="7F304488"/>
    <w:rsid w:val="7F3558AB"/>
    <w:rsid w:val="7F35673E"/>
    <w:rsid w:val="7F3D2D5A"/>
    <w:rsid w:val="7F4F235A"/>
    <w:rsid w:val="7F4F5613"/>
    <w:rsid w:val="7F6F41A7"/>
    <w:rsid w:val="7F71645C"/>
    <w:rsid w:val="7F7779DD"/>
    <w:rsid w:val="7F7B00DA"/>
    <w:rsid w:val="7F815B64"/>
    <w:rsid w:val="7F8646FE"/>
    <w:rsid w:val="7F87175E"/>
    <w:rsid w:val="7F8E2E82"/>
    <w:rsid w:val="7FA93016"/>
    <w:rsid w:val="7FAC3540"/>
    <w:rsid w:val="7FB515D0"/>
    <w:rsid w:val="7FB942E2"/>
    <w:rsid w:val="7FCD5BC4"/>
    <w:rsid w:val="7FCE2FD9"/>
    <w:rsid w:val="7FCE7ECF"/>
    <w:rsid w:val="7FDD023F"/>
    <w:rsid w:val="7FE805D0"/>
    <w:rsid w:val="7FE91240"/>
    <w:rsid w:val="7FEE2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jc w:val="left"/>
      <w:outlineLvl w:val="0"/>
    </w:pPr>
    <w:rPr>
      <w:rFonts w:ascii="Tahoma" w:hAnsi="Tahoma" w:eastAsia="Tahoma" w:cs="Times New Roman"/>
      <w:b/>
      <w:kern w:val="44"/>
      <w:sz w:val="28"/>
      <w:szCs w:val="28"/>
    </w:rPr>
  </w:style>
  <w:style w:type="paragraph" w:styleId="3">
    <w:name w:val="heading 2"/>
    <w:basedOn w:val="1"/>
    <w:next w:val="1"/>
    <w:autoRedefine/>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paragraph" w:styleId="4">
    <w:name w:val="heading 3"/>
    <w:basedOn w:val="1"/>
    <w:next w:val="1"/>
    <w:autoRedefine/>
    <w:semiHidden/>
    <w:unhideWhenUsed/>
    <w:qFormat/>
    <w:uiPriority w:val="0"/>
    <w:pPr>
      <w:jc w:val="left"/>
      <w:outlineLvl w:val="2"/>
    </w:pPr>
    <w:rPr>
      <w:rFonts w:hint="eastAsia" w:ascii="宋体" w:hAnsi="宋体" w:eastAsia="宋体" w:cs="Times New Roman"/>
      <w:b/>
      <w:kern w:val="0"/>
      <w:sz w:val="27"/>
      <w:szCs w:val="27"/>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5">
    <w:name w:val="Normal Indent"/>
    <w:autoRedefine/>
    <w:semiHidden/>
    <w:qFormat/>
    <w:uiPriority w:val="0"/>
    <w:pPr>
      <w:widowControl w:val="0"/>
      <w:ind w:firstLine="420"/>
      <w:jc w:val="both"/>
    </w:pPr>
    <w:rPr>
      <w:rFonts w:ascii="Times New Roman" w:hAnsi="Times New Roman" w:eastAsia="宋体" w:cs="Times New Roman"/>
      <w:kern w:val="2"/>
      <w:sz w:val="21"/>
      <w:lang w:val="en-US" w:eastAsia="zh-CN" w:bidi="ar-SA"/>
    </w:rPr>
  </w:style>
  <w:style w:type="paragraph" w:styleId="6">
    <w:name w:val="annotation text"/>
    <w:autoRedefine/>
    <w:qFormat/>
    <w:uiPriority w:val="0"/>
    <w:pPr>
      <w:spacing w:before="50" w:beforeLines="50" w:after="50" w:afterLines="50"/>
    </w:pPr>
    <w:rPr>
      <w:rFonts w:ascii="Calibri" w:hAnsi="Calibri" w:eastAsia="宋体" w:cs="Times New Roman"/>
      <w:sz w:val="28"/>
      <w:szCs w:val="28"/>
      <w:lang w:val="de-AT" w:eastAsia="zh-CN" w:bidi="ar-SA"/>
    </w:rPr>
  </w:style>
  <w:style w:type="paragraph" w:styleId="7">
    <w:name w:val="Body Text"/>
    <w:autoRedefine/>
    <w:unhideWhenUsed/>
    <w:qFormat/>
    <w:uiPriority w:val="99"/>
    <w:pPr>
      <w:widowControl w:val="0"/>
      <w:spacing w:after="120"/>
      <w:jc w:val="both"/>
    </w:pPr>
    <w:rPr>
      <w:rFonts w:asciiTheme="minorHAnsi" w:hAnsiTheme="minorHAnsi" w:eastAsiaTheme="minorEastAsia" w:cstheme="minorBidi"/>
      <w:kern w:val="2"/>
      <w:sz w:val="21"/>
      <w:szCs w:val="24"/>
      <w:lang w:val="en-US" w:eastAsia="zh-CN" w:bidi="ar-SA"/>
    </w:rPr>
  </w:style>
  <w:style w:type="paragraph" w:styleId="8">
    <w:name w:val="Body Text Indent"/>
    <w:autoRedefine/>
    <w:qFormat/>
    <w:uiPriority w:val="0"/>
    <w:pPr>
      <w:widowControl w:val="0"/>
      <w:spacing w:after="120" w:afterLines="0" w:afterAutospacing="0"/>
      <w:ind w:left="420" w:leftChars="200"/>
      <w:jc w:val="both"/>
    </w:pPr>
    <w:rPr>
      <w:rFonts w:ascii="Calibri" w:hAnsi="Calibri" w:eastAsia="宋体" w:cs="Times New Roman"/>
      <w:kern w:val="2"/>
      <w:sz w:val="21"/>
      <w:szCs w:val="24"/>
      <w:lang w:val="en-US" w:eastAsia="zh-CN" w:bidi="ar-SA"/>
    </w:rPr>
  </w:style>
  <w:style w:type="paragraph" w:styleId="9">
    <w:name w:val="endnote text"/>
    <w:autoRedefine/>
    <w:qFormat/>
    <w:uiPriority w:val="0"/>
    <w:pPr>
      <w:widowControl w:val="0"/>
      <w:snapToGrid w:val="0"/>
    </w:pPr>
    <w:rPr>
      <w:rFonts w:ascii="Times New Roman" w:hAnsi="Times New Roman" w:eastAsia="宋体" w:cs="Times New Roman"/>
      <w:kern w:val="2"/>
      <w:sz w:val="24"/>
      <w:lang w:val="en-US" w:eastAsia="zh-CN" w:bidi="ar-SA"/>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Subtitle"/>
    <w:next w:val="1"/>
    <w:autoRedefine/>
    <w:qFormat/>
    <w:uiPriority w:val="11"/>
    <w:pPr>
      <w:widowControl w:val="0"/>
      <w:spacing w:line="360" w:lineRule="auto"/>
      <w:ind w:firstLine="482" w:firstLineChars="200"/>
    </w:pPr>
    <w:rPr>
      <w:rFonts w:ascii="宋体" w:hAnsi="宋体" w:eastAsia="宋体" w:cs="Times New Roman"/>
      <w:b/>
      <w:bCs/>
      <w:kern w:val="2"/>
      <w:sz w:val="24"/>
      <w:szCs w:val="24"/>
      <w:lang w:val="en-US" w:eastAsia="zh-CN" w:bidi="ar-SA"/>
    </w:rPr>
  </w:style>
  <w:style w:type="paragraph" w:styleId="13">
    <w:name w:val="footnote text"/>
    <w:autoRedefine/>
    <w:qFormat/>
    <w:uiPriority w:val="0"/>
    <w:pPr>
      <w:widowControl w:val="0"/>
      <w:snapToGrid w:val="0"/>
      <w:jc w:val="left"/>
    </w:pPr>
    <w:rPr>
      <w:rFonts w:ascii="Calibri" w:hAnsi="Calibri" w:eastAsia="宋体" w:cs="Times New Roman"/>
      <w:kern w:val="2"/>
      <w:sz w:val="18"/>
      <w:szCs w:val="24"/>
      <w:lang w:val="en-US" w:eastAsia="zh-CN" w:bidi="ar-SA"/>
    </w:rPr>
  </w:style>
  <w:style w:type="paragraph" w:styleId="14">
    <w:name w:val="Normal (Web)"/>
    <w:basedOn w:val="1"/>
    <w:autoRedefine/>
    <w:qFormat/>
    <w:uiPriority w:val="0"/>
    <w:pPr>
      <w:spacing w:beforeAutospacing="1" w:afterAutospacing="1"/>
      <w:jc w:val="left"/>
    </w:pPr>
    <w:rPr>
      <w:rFonts w:cs="Times New Roman"/>
      <w:kern w:val="0"/>
      <w:sz w:val="24"/>
    </w:rPr>
  </w:style>
  <w:style w:type="paragraph" w:styleId="15">
    <w:name w:val="Title"/>
    <w:next w:val="1"/>
    <w:autoRedefine/>
    <w:qFormat/>
    <w:uiPriority w:val="1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6">
    <w:name w:val="Body Text First Indent"/>
    <w:autoRedefine/>
    <w:qFormat/>
    <w:uiPriority w:val="0"/>
    <w:pPr>
      <w:widowControl w:val="0"/>
      <w:ind w:firstLine="498" w:firstLineChars="200"/>
      <w:jc w:val="both"/>
    </w:pPr>
    <w:rPr>
      <w:rFonts w:ascii="Times New Roman" w:hAnsi="Times New Roman" w:eastAsia="宋体" w:cs="Times New Roman"/>
      <w:kern w:val="2"/>
      <w:sz w:val="24"/>
      <w:lang w:val="en-US" w:eastAsia="zh-CN" w:bidi="ar-SA"/>
    </w:rPr>
  </w:style>
  <w:style w:type="paragraph" w:styleId="17">
    <w:name w:val="Body Text First Indent 2"/>
    <w:next w:val="1"/>
    <w:autoRedefine/>
    <w:qFormat/>
    <w:uiPriority w:val="0"/>
    <w:pPr>
      <w:keepNext w:val="0"/>
      <w:keepLines w:val="0"/>
      <w:widowControl w:val="0"/>
      <w:suppressLineNumbers w:val="0"/>
      <w:spacing w:before="100" w:beforeAutospacing="1" w:after="0" w:afterLines="0" w:afterAutospacing="0"/>
      <w:ind w:left="420" w:leftChars="200" w:right="0" w:firstLine="420" w:firstLineChars="200"/>
      <w:jc w:val="both"/>
    </w:pPr>
    <w:rPr>
      <w:rFonts w:hint="default" w:ascii="Calibri" w:hAnsi="Calibri" w:eastAsia="宋体" w:cs="Times New Roman"/>
      <w:kern w:val="2"/>
      <w:sz w:val="21"/>
      <w:szCs w:val="21"/>
      <w:lang w:val="en-US" w:eastAsia="zh-CN" w:bidi="ar"/>
    </w:rPr>
  </w:style>
  <w:style w:type="table" w:styleId="19">
    <w:name w:val="Table Grid"/>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1">
    <w:name w:val="Strong"/>
    <w:basedOn w:val="20"/>
    <w:autoRedefine/>
    <w:qFormat/>
    <w:uiPriority w:val="0"/>
    <w:rPr>
      <w:b/>
    </w:rPr>
  </w:style>
  <w:style w:type="character" w:styleId="22">
    <w:name w:val="endnote reference"/>
    <w:autoRedefine/>
    <w:qFormat/>
    <w:uiPriority w:val="0"/>
    <w:rPr>
      <w:vertAlign w:val="superscript"/>
    </w:rPr>
  </w:style>
  <w:style w:type="character" w:styleId="23">
    <w:name w:val="page number"/>
    <w:basedOn w:val="20"/>
    <w:autoRedefine/>
    <w:qFormat/>
    <w:uiPriority w:val="0"/>
  </w:style>
  <w:style w:type="character" w:styleId="24">
    <w:name w:val="FollowedHyperlink"/>
    <w:basedOn w:val="20"/>
    <w:autoRedefine/>
    <w:qFormat/>
    <w:uiPriority w:val="0"/>
    <w:rPr>
      <w:color w:val="000000"/>
      <w:sz w:val="14"/>
      <w:szCs w:val="14"/>
      <w:u w:val="none"/>
    </w:rPr>
  </w:style>
  <w:style w:type="character" w:styleId="25">
    <w:name w:val="Emphasis"/>
    <w:basedOn w:val="20"/>
    <w:autoRedefine/>
    <w:qFormat/>
    <w:uiPriority w:val="0"/>
    <w:rPr>
      <w:b/>
    </w:rPr>
  </w:style>
  <w:style w:type="character" w:styleId="26">
    <w:name w:val="HTML Definition"/>
    <w:basedOn w:val="20"/>
    <w:autoRedefine/>
    <w:qFormat/>
    <w:uiPriority w:val="0"/>
  </w:style>
  <w:style w:type="character" w:styleId="27">
    <w:name w:val="HTML Variable"/>
    <w:basedOn w:val="20"/>
    <w:autoRedefine/>
    <w:qFormat/>
    <w:uiPriority w:val="0"/>
  </w:style>
  <w:style w:type="character" w:styleId="28">
    <w:name w:val="Hyperlink"/>
    <w:basedOn w:val="20"/>
    <w:autoRedefine/>
    <w:qFormat/>
    <w:uiPriority w:val="0"/>
    <w:rPr>
      <w:color w:val="000000"/>
      <w:sz w:val="19"/>
      <w:szCs w:val="19"/>
      <w:u w:val="none"/>
      <w:bdr w:val="single" w:color="DFE0E0" w:sz="6" w:space="0"/>
    </w:rPr>
  </w:style>
  <w:style w:type="character" w:styleId="29">
    <w:name w:val="HTML Code"/>
    <w:basedOn w:val="20"/>
    <w:autoRedefine/>
    <w:qFormat/>
    <w:uiPriority w:val="0"/>
    <w:rPr>
      <w:rFonts w:ascii="Courier New" w:hAnsi="Courier New"/>
      <w:sz w:val="20"/>
    </w:rPr>
  </w:style>
  <w:style w:type="character" w:styleId="30">
    <w:name w:val="HTML Cite"/>
    <w:basedOn w:val="20"/>
    <w:autoRedefine/>
    <w:qFormat/>
    <w:uiPriority w:val="0"/>
  </w:style>
  <w:style w:type="paragraph" w:customStyle="1" w:styleId="31">
    <w:name w:val="Default"/>
    <w:next w:val="1"/>
    <w:autoRedefine/>
    <w:qFormat/>
    <w:uiPriority w:val="0"/>
    <w:pPr>
      <w:widowControl w:val="0"/>
      <w:autoSpaceDE w:val="0"/>
      <w:autoSpaceDN w:val="0"/>
      <w:adjustRightInd w:val="0"/>
    </w:pPr>
    <w:rPr>
      <w:rFonts w:ascii="方正黑体简体" w:hAnsi="Times New Roman" w:eastAsia="方正黑体简体" w:cs="方正黑体简体"/>
      <w:color w:val="000000"/>
      <w:sz w:val="24"/>
      <w:szCs w:val="24"/>
      <w:lang w:val="en-US" w:eastAsia="zh-CN" w:bidi="ar-SA"/>
    </w:rPr>
  </w:style>
  <w:style w:type="paragraph" w:customStyle="1" w:styleId="32">
    <w:name w:val="p6"/>
    <w:basedOn w:val="1"/>
    <w:autoRedefine/>
    <w:qFormat/>
    <w:uiPriority w:val="0"/>
    <w:pPr>
      <w:spacing w:line="532" w:lineRule="atLeast"/>
      <w:ind w:firstLine="584"/>
      <w:jc w:val="left"/>
    </w:pPr>
    <w:rPr>
      <w:rFonts w:ascii="微软雅黑" w:hAnsi="微软雅黑" w:eastAsia="微软雅黑" w:cs="Times New Roman"/>
      <w:color w:val="303030"/>
      <w:kern w:val="0"/>
      <w:sz w:val="24"/>
    </w:rPr>
  </w:style>
  <w:style w:type="character" w:customStyle="1" w:styleId="33">
    <w:name w:val="fontstyle01"/>
    <w:basedOn w:val="20"/>
    <w:autoRedefine/>
    <w:qFormat/>
    <w:uiPriority w:val="0"/>
    <w:rPr>
      <w:rFonts w:ascii="黑体" w:hAnsi="宋体" w:eastAsia="黑体" w:cs="黑体"/>
      <w:color w:val="000000"/>
      <w:sz w:val="52"/>
      <w:szCs w:val="52"/>
    </w:rPr>
  </w:style>
  <w:style w:type="character" w:customStyle="1" w:styleId="34">
    <w:name w:val="fontstyle11"/>
    <w:basedOn w:val="20"/>
    <w:autoRedefine/>
    <w:qFormat/>
    <w:uiPriority w:val="0"/>
    <w:rPr>
      <w:rFonts w:ascii="黑体" w:hAnsi="宋体" w:eastAsia="黑体" w:cs="黑体"/>
      <w:color w:val="000000"/>
      <w:sz w:val="28"/>
      <w:szCs w:val="28"/>
    </w:rPr>
  </w:style>
  <w:style w:type="character" w:customStyle="1" w:styleId="35">
    <w:name w:val="fontstyle21"/>
    <w:basedOn w:val="20"/>
    <w:autoRedefine/>
    <w:qFormat/>
    <w:uiPriority w:val="0"/>
    <w:rPr>
      <w:rFonts w:ascii="黑体" w:hAnsi="宋体" w:eastAsia="黑体" w:cs="黑体"/>
      <w:color w:val="000000"/>
      <w:sz w:val="28"/>
      <w:szCs w:val="28"/>
    </w:rPr>
  </w:style>
  <w:style w:type="paragraph" w:customStyle="1" w:styleId="36">
    <w:name w:val="_Style 13"/>
    <w:basedOn w:val="1"/>
    <w:next w:val="1"/>
    <w:autoRedefine/>
    <w:qFormat/>
    <w:uiPriority w:val="0"/>
    <w:pPr>
      <w:pBdr>
        <w:bottom w:val="single" w:color="auto" w:sz="6" w:space="1"/>
      </w:pBdr>
      <w:jc w:val="center"/>
    </w:pPr>
    <w:rPr>
      <w:rFonts w:ascii="Arial" w:eastAsia="宋体"/>
      <w:vanish/>
      <w:sz w:val="16"/>
    </w:rPr>
  </w:style>
  <w:style w:type="paragraph" w:customStyle="1" w:styleId="37">
    <w:name w:val="_Style 14"/>
    <w:basedOn w:val="1"/>
    <w:next w:val="1"/>
    <w:autoRedefine/>
    <w:qFormat/>
    <w:uiPriority w:val="0"/>
    <w:pPr>
      <w:pBdr>
        <w:top w:val="single" w:color="auto" w:sz="6" w:space="1"/>
      </w:pBdr>
      <w:jc w:val="center"/>
    </w:pPr>
    <w:rPr>
      <w:rFonts w:ascii="Arial" w:eastAsia="宋体"/>
      <w:vanish/>
      <w:sz w:val="16"/>
    </w:rPr>
  </w:style>
  <w:style w:type="character" w:customStyle="1" w:styleId="38">
    <w:name w:val="first-child"/>
    <w:basedOn w:val="20"/>
    <w:autoRedefine/>
    <w:qFormat/>
    <w:uiPriority w:val="0"/>
  </w:style>
  <w:style w:type="character" w:customStyle="1" w:styleId="39">
    <w:name w:val="on"/>
    <w:basedOn w:val="20"/>
    <w:autoRedefine/>
    <w:qFormat/>
    <w:uiPriority w:val="0"/>
    <w:rPr>
      <w:shd w:val="clear" w:color="auto" w:fill="116DC0"/>
    </w:rPr>
  </w:style>
  <w:style w:type="character" w:customStyle="1" w:styleId="40">
    <w:name w:val="current"/>
    <w:basedOn w:val="20"/>
    <w:autoRedefine/>
    <w:qFormat/>
    <w:uiPriority w:val="0"/>
    <w:rPr>
      <w:color w:val="FFFFFF"/>
      <w:bdr w:val="single" w:color="2859A6" w:sz="4" w:space="0"/>
      <w:shd w:val="clear" w:color="auto" w:fill="0088D3"/>
    </w:rPr>
  </w:style>
  <w:style w:type="character" w:customStyle="1" w:styleId="41">
    <w:name w:val="disabled"/>
    <w:basedOn w:val="20"/>
    <w:autoRedefine/>
    <w:qFormat/>
    <w:uiPriority w:val="0"/>
    <w:rPr>
      <w:color w:val="BFBFBF"/>
      <w:bdr w:val="single" w:color="BFBFBF" w:sz="4" w:space="0"/>
      <w:shd w:val="clear" w:color="auto" w:fill="F2F2F2"/>
    </w:rPr>
  </w:style>
  <w:style w:type="character" w:customStyle="1" w:styleId="42">
    <w:name w:val="layui-layer-tabnow"/>
    <w:basedOn w:val="20"/>
    <w:autoRedefine/>
    <w:qFormat/>
    <w:uiPriority w:val="0"/>
    <w:rPr>
      <w:bdr w:val="single" w:color="CCCCCC" w:sz="4" w:space="0"/>
      <w:shd w:val="clear" w:color="auto" w:fill="FFFFFF"/>
    </w:rPr>
  </w:style>
  <w:style w:type="character" w:customStyle="1" w:styleId="43">
    <w:name w:val="article-priter1"/>
    <w:basedOn w:val="20"/>
    <w:autoRedefine/>
    <w:qFormat/>
    <w:uiPriority w:val="0"/>
  </w:style>
  <w:style w:type="character" w:customStyle="1" w:styleId="44">
    <w:name w:val="article-share1"/>
    <w:basedOn w:val="20"/>
    <w:autoRedefine/>
    <w:qFormat/>
    <w:uiPriority w:val="0"/>
    <w:rPr>
      <w:b/>
      <w:color w:val="2F5398"/>
    </w:rPr>
  </w:style>
  <w:style w:type="paragraph" w:customStyle="1" w:styleId="45">
    <w:name w:val="List Paragraph1"/>
    <w:basedOn w:val="1"/>
    <w:autoRedefine/>
    <w:qFormat/>
    <w:uiPriority w:val="99"/>
    <w:pPr>
      <w:ind w:left="1000" w:firstLine="559"/>
    </w:pPr>
  </w:style>
  <w:style w:type="paragraph" w:styleId="46">
    <w:name w:val="List Paragraph"/>
    <w:basedOn w:val="1"/>
    <w:autoRedefine/>
    <w:qFormat/>
    <w:uiPriority w:val="34"/>
    <w:pPr>
      <w:ind w:firstLine="420" w:firstLineChars="200"/>
    </w:pPr>
  </w:style>
  <w:style w:type="paragraph" w:customStyle="1" w:styleId="47">
    <w:name w:val="正文1"/>
    <w:autoRedefine/>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zh-TW" w:eastAsia="zh-TW" w:bidi="ar-SA"/>
    </w:rPr>
  </w:style>
  <w:style w:type="table" w:customStyle="1" w:styleId="48">
    <w:name w:val="浅色底纹 - 强调文字颜色 11"/>
    <w:autoRedefine/>
    <w:qFormat/>
    <w:uiPriority w:val="60"/>
    <w:rPr>
      <w:color w:val="366091"/>
    </w:rPr>
    <w:tblPr>
      <w:tblBorders>
        <w:top w:val="single" w:color="4F81BD" w:sz="8" w:space="0"/>
        <w:bottom w:val="single" w:color="4F81BD"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49">
    <w:name w:val="无格式表格 21"/>
    <w:autoRedefine/>
    <w:qFormat/>
    <w:uiPriority w:val="42"/>
    <w:tblPr>
      <w:tblBorders>
        <w:top w:val="single" w:color="7E7E7E" w:sz="4" w:space="0"/>
        <w:bottom w:val="single" w:color="7E7E7E" w:sz="4" w:space="0"/>
      </w:tblBorders>
      <w:tblCellMar>
        <w:top w:w="0" w:type="dxa"/>
        <w:left w:w="108" w:type="dxa"/>
        <w:bottom w:w="0" w:type="dxa"/>
        <w:right w:w="108" w:type="dxa"/>
      </w:tblCellMar>
    </w:tblPr>
    <w:tblStylePr w:type="firstRow">
      <w:rPr>
        <w:b/>
        <w:bCs/>
      </w:rPr>
      <w:tcPr>
        <w:tcBorders>
          <w:bottom w:val="single" w:color="7E7E7E" w:sz="4" w:space="0"/>
        </w:tcBorders>
      </w:tcPr>
    </w:tblStylePr>
    <w:tblStylePr w:type="lastRow">
      <w:rPr>
        <w:b/>
        <w:bCs/>
      </w:rPr>
      <w:tcPr>
        <w:tcBorders>
          <w:top w:val="single" w:color="7E7E7E" w:sz="4" w:space="0"/>
        </w:tcBorders>
      </w:tcPr>
    </w:tblStylePr>
    <w:tblStylePr w:type="firstCol">
      <w:rPr>
        <w:b/>
        <w:bCs/>
      </w:rPr>
    </w:tblStylePr>
    <w:tblStylePr w:type="lastCol">
      <w:rPr>
        <w:b/>
        <w:bCs/>
      </w:rPr>
    </w:tblStylePr>
    <w:tblStylePr w:type="band1Vert">
      <w:tcPr>
        <w:tcBorders>
          <w:left w:val="single" w:color="7E7E7E" w:sz="4" w:space="0"/>
          <w:right w:val="single" w:color="7E7E7E" w:sz="4" w:space="0"/>
        </w:tcBorders>
      </w:tcPr>
    </w:tblStylePr>
    <w:tblStylePr w:type="band2Vert">
      <w:tcPr>
        <w:tcBorders>
          <w:left w:val="single" w:color="7E7E7E" w:sz="4" w:space="0"/>
          <w:right w:val="single" w:color="7E7E7E" w:sz="4" w:space="0"/>
        </w:tcBorders>
      </w:tcPr>
    </w:tblStylePr>
    <w:tblStylePr w:type="band1Horz">
      <w:tcPr>
        <w:tcBorders>
          <w:top w:val="single" w:color="7E7E7E" w:sz="4" w:space="0"/>
          <w:bottom w:val="single" w:color="7E7E7E" w:sz="4" w:space="0"/>
        </w:tcBorders>
      </w:tcPr>
    </w:tblStylePr>
  </w:style>
  <w:style w:type="table" w:customStyle="1" w:styleId="50">
    <w:name w:val="Grid Table 41"/>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0" w:type="dxa"/>
        <w:bottom w:w="0" w:type="dxa"/>
        <w:right w:w="0" w:type="dxa"/>
      </w:tblCellMar>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character" w:customStyle="1" w:styleId="51">
    <w:name w:val="tgt"/>
    <w:autoRedefine/>
    <w:qFormat/>
    <w:uiPriority w:val="0"/>
  </w:style>
  <w:style w:type="character" w:customStyle="1" w:styleId="52">
    <w:name w:val="label_list1"/>
    <w:autoRedefine/>
    <w:qFormat/>
    <w:uiPriority w:val="0"/>
  </w:style>
  <w:style w:type="paragraph" w:customStyle="1" w:styleId="53">
    <w:name w:val="Pa6"/>
    <w:next w:val="31"/>
    <w:autoRedefine/>
    <w:qFormat/>
    <w:uiPriority w:val="0"/>
    <w:pPr>
      <w:widowControl w:val="0"/>
      <w:autoSpaceDE w:val="0"/>
      <w:autoSpaceDN w:val="0"/>
      <w:adjustRightInd w:val="0"/>
      <w:spacing w:line="210" w:lineRule="atLeast"/>
    </w:pPr>
    <w:rPr>
      <w:rFonts w:ascii="方正黑体简体" w:hAnsi="Times New Roman" w:eastAsia="方正黑体简体" w:cs="Times New Roman"/>
      <w:color w:val="auto"/>
      <w:sz w:val="24"/>
      <w:szCs w:val="24"/>
      <w:lang w:val="en-US" w:eastAsia="zh-CN" w:bidi="ar-SA"/>
    </w:rPr>
  </w:style>
  <w:style w:type="paragraph" w:customStyle="1" w:styleId="54">
    <w:name w:val="Pa9"/>
    <w:next w:val="31"/>
    <w:autoRedefine/>
    <w:qFormat/>
    <w:uiPriority w:val="0"/>
    <w:pPr>
      <w:widowControl w:val="0"/>
      <w:autoSpaceDE w:val="0"/>
      <w:autoSpaceDN w:val="0"/>
      <w:adjustRightInd w:val="0"/>
      <w:spacing w:line="210" w:lineRule="atLeast"/>
    </w:pPr>
    <w:rPr>
      <w:rFonts w:ascii="Times New Roman" w:hAnsi="Times New Roman" w:eastAsia="宋体" w:cs="Times New Roman"/>
      <w:color w:val="auto"/>
      <w:sz w:val="24"/>
      <w:szCs w:val="24"/>
      <w:lang w:val="en-US" w:eastAsia="zh-CN" w:bidi="ar-SA"/>
    </w:rPr>
  </w:style>
  <w:style w:type="character" w:customStyle="1" w:styleId="55">
    <w:name w:val="font41"/>
    <w:autoRedefine/>
    <w:qFormat/>
    <w:uiPriority w:val="0"/>
    <w:rPr>
      <w:rFonts w:hint="eastAsia" w:ascii="宋体" w:hAnsi="宋体" w:eastAsia="宋体" w:cs="宋体"/>
      <w:color w:val="000000"/>
      <w:sz w:val="24"/>
      <w:szCs w:val="24"/>
      <w:u w:val="none"/>
    </w:rPr>
  </w:style>
  <w:style w:type="character" w:customStyle="1" w:styleId="56">
    <w:name w:val="font51"/>
    <w:autoRedefine/>
    <w:qFormat/>
    <w:uiPriority w:val="0"/>
    <w:rPr>
      <w:rFonts w:hint="eastAsia" w:ascii="宋体" w:hAnsi="宋体" w:eastAsia="宋体" w:cs="宋体"/>
      <w:color w:val="000000"/>
      <w:sz w:val="22"/>
      <w:szCs w:val="22"/>
      <w:u w:val="none"/>
    </w:rPr>
  </w:style>
  <w:style w:type="character" w:customStyle="1" w:styleId="57">
    <w:name w:val="font31"/>
    <w:autoRedefine/>
    <w:qFormat/>
    <w:uiPriority w:val="0"/>
    <w:rPr>
      <w:rFonts w:hint="eastAsia" w:ascii="宋体" w:hAnsi="宋体" w:eastAsia="宋体" w:cs="宋体"/>
      <w:color w:val="000000"/>
      <w:sz w:val="21"/>
      <w:szCs w:val="21"/>
      <w:u w:val="none"/>
    </w:rPr>
  </w:style>
  <w:style w:type="character" w:customStyle="1" w:styleId="58">
    <w:name w:val="font21"/>
    <w:autoRedefine/>
    <w:qFormat/>
    <w:uiPriority w:val="0"/>
    <w:rPr>
      <w:rFonts w:hint="eastAsia" w:ascii="宋体" w:hAnsi="宋体" w:eastAsia="宋体" w:cs="宋体"/>
      <w:color w:val="000000"/>
      <w:sz w:val="21"/>
      <w:szCs w:val="21"/>
      <w:u w:val="none"/>
    </w:rPr>
  </w:style>
  <w:style w:type="character" w:customStyle="1" w:styleId="59">
    <w:name w:val="font61"/>
    <w:autoRedefine/>
    <w:qFormat/>
    <w:uiPriority w:val="0"/>
    <w:rPr>
      <w:rFonts w:hint="eastAsia" w:ascii="宋体" w:hAnsi="宋体" w:eastAsia="宋体" w:cs="宋体"/>
      <w:color w:val="000000"/>
      <w:sz w:val="21"/>
      <w:szCs w:val="21"/>
      <w:u w:val="none"/>
    </w:rPr>
  </w:style>
  <w:style w:type="character" w:customStyle="1" w:styleId="60">
    <w:name w:val="font11"/>
    <w:autoRedefine/>
    <w:qFormat/>
    <w:uiPriority w:val="0"/>
    <w:rPr>
      <w:rFonts w:hint="eastAsia" w:ascii="宋体" w:hAnsi="宋体" w:eastAsia="宋体" w:cs="宋体"/>
      <w:color w:val="000000"/>
      <w:sz w:val="21"/>
      <w:szCs w:val="21"/>
      <w:u w:val="none"/>
    </w:rPr>
  </w:style>
  <w:style w:type="character" w:customStyle="1" w:styleId="61">
    <w:name w:val="正文首行缩进 2 Char"/>
    <w:autoRedefine/>
    <w:qFormat/>
    <w:uiPriority w:val="2457"/>
    <w:rPr>
      <w:rFonts w:eastAsia="宋体"/>
      <w:kern w:val="2"/>
      <w:sz w:val="21"/>
      <w:szCs w:val="24"/>
      <w:lang w:val="en-US" w:eastAsia="zh-CN" w:bidi="ar-SA"/>
    </w:rPr>
  </w:style>
  <w:style w:type="paragraph" w:styleId="62">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character" w:customStyle="1" w:styleId="63">
    <w:name w:val="transsent"/>
    <w:autoRedefine/>
    <w:qFormat/>
    <w:uiPriority w:val="0"/>
  </w:style>
  <w:style w:type="paragraph" w:customStyle="1" w:styleId="64">
    <w:name w:val="List Paragraph*"/>
    <w:autoRedefine/>
    <w:qFormat/>
    <w:uiPriority w:val="7"/>
    <w:pPr>
      <w:widowControl w:val="0"/>
      <w:ind w:firstLine="420"/>
      <w:jc w:val="both"/>
    </w:pPr>
    <w:rPr>
      <w:rFonts w:ascii="Calibri" w:hAnsi="Calibri" w:eastAsia="宋体" w:cs="Times New Roman"/>
      <w:kern w:val="1"/>
      <w:sz w:val="21"/>
      <w:szCs w:val="24"/>
      <w:lang w:val="en-US" w:eastAsia="zh-CN" w:bidi="ar-SA"/>
    </w:rPr>
  </w:style>
  <w:style w:type="character" w:customStyle="1" w:styleId="65">
    <w:name w:val="src"/>
    <w:autoRedefine/>
    <w:qFormat/>
    <w:uiPriority w:val="0"/>
  </w:style>
  <w:style w:type="table" w:customStyle="1" w:styleId="66">
    <w:name w:val="Table Normal"/>
    <w:autoRedefine/>
    <w:semiHidden/>
    <w:unhideWhenUsed/>
    <w:qFormat/>
    <w:uiPriority w:val="0"/>
    <w:tblPr>
      <w:tblCellMar>
        <w:top w:w="0" w:type="dxa"/>
        <w:left w:w="0" w:type="dxa"/>
        <w:bottom w:w="0" w:type="dxa"/>
        <w:right w:w="0" w:type="dxa"/>
      </w:tblCellMar>
    </w:tblPr>
  </w:style>
  <w:style w:type="character" w:customStyle="1" w:styleId="67">
    <w:name w:val="copied"/>
    <w:autoRedefine/>
    <w:qFormat/>
    <w:uiPriority w:val="0"/>
  </w:style>
  <w:style w:type="character" w:customStyle="1" w:styleId="68">
    <w:name w:val="edited2"/>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2" Type="http://schemas.openxmlformats.org/officeDocument/2006/relationships/fontTable" Target="fontTable.xml"/><Relationship Id="rId71" Type="http://schemas.openxmlformats.org/officeDocument/2006/relationships/numbering" Target="numbering.xml"/><Relationship Id="rId70" Type="http://schemas.openxmlformats.org/officeDocument/2006/relationships/customXml" Target="../customXml/item1.xml"/><Relationship Id="rId7" Type="http://schemas.openxmlformats.org/officeDocument/2006/relationships/image" Target="media/image2.jpeg"/><Relationship Id="rId69" Type="http://schemas.openxmlformats.org/officeDocument/2006/relationships/image" Target="media/image61.jpeg"/><Relationship Id="rId68" Type="http://schemas.openxmlformats.org/officeDocument/2006/relationships/image" Target="media/image60.jpeg"/><Relationship Id="rId67" Type="http://schemas.openxmlformats.org/officeDocument/2006/relationships/image" Target="media/image59.jpeg"/><Relationship Id="rId66" Type="http://schemas.openxmlformats.org/officeDocument/2006/relationships/image" Target="media/image58.jpeg"/><Relationship Id="rId65" Type="http://schemas.openxmlformats.org/officeDocument/2006/relationships/image" Target="media/image57.png"/><Relationship Id="rId64" Type="http://schemas.openxmlformats.org/officeDocument/2006/relationships/image" Target="media/image56.jpeg"/><Relationship Id="rId63" Type="http://schemas.openxmlformats.org/officeDocument/2006/relationships/image" Target="media/image55.jpeg"/><Relationship Id="rId62" Type="http://schemas.openxmlformats.org/officeDocument/2006/relationships/image" Target="media/image54.jpeg"/><Relationship Id="rId61" Type="http://schemas.openxmlformats.org/officeDocument/2006/relationships/image" Target="media/image53.jpeg"/><Relationship Id="rId60" Type="http://schemas.openxmlformats.org/officeDocument/2006/relationships/image" Target="media/image52.jpeg"/><Relationship Id="rId6" Type="http://schemas.openxmlformats.org/officeDocument/2006/relationships/image" Target="media/image1.png"/><Relationship Id="rId59" Type="http://schemas.openxmlformats.org/officeDocument/2006/relationships/image" Target="media/image51.jpeg"/><Relationship Id="rId58" Type="http://schemas.openxmlformats.org/officeDocument/2006/relationships/image" Target="media/image50.jpeg"/><Relationship Id="rId57" Type="http://schemas.openxmlformats.org/officeDocument/2006/relationships/image" Target="media/image49.jpeg"/><Relationship Id="rId56" Type="http://schemas.openxmlformats.org/officeDocument/2006/relationships/image" Target="media/image48.jpeg"/><Relationship Id="rId55" Type="http://schemas.openxmlformats.org/officeDocument/2006/relationships/image" Target="media/image47.jpeg"/><Relationship Id="rId54" Type="http://schemas.openxmlformats.org/officeDocument/2006/relationships/image" Target="media/image46.png"/><Relationship Id="rId53" Type="http://schemas.openxmlformats.org/officeDocument/2006/relationships/image" Target="media/image45.png"/><Relationship Id="rId52" Type="http://schemas.openxmlformats.org/officeDocument/2006/relationships/image" Target="media/image44.jpeg"/><Relationship Id="rId51" Type="http://schemas.openxmlformats.org/officeDocument/2006/relationships/image" Target="media/image43.png"/><Relationship Id="rId50" Type="http://schemas.openxmlformats.org/officeDocument/2006/relationships/image" Target="media/image42.png"/><Relationship Id="rId5" Type="http://schemas.openxmlformats.org/officeDocument/2006/relationships/theme" Target="theme/theme1.xml"/><Relationship Id="rId49" Type="http://schemas.openxmlformats.org/officeDocument/2006/relationships/image" Target="media/image41.png"/><Relationship Id="rId48" Type="http://schemas.openxmlformats.org/officeDocument/2006/relationships/image" Target="media/image40.jpeg"/><Relationship Id="rId47" Type="http://schemas.openxmlformats.org/officeDocument/2006/relationships/image" Target="media/image39.png"/><Relationship Id="rId46" Type="http://schemas.openxmlformats.org/officeDocument/2006/relationships/image" Target="media/image38.png"/><Relationship Id="rId45" Type="http://schemas.openxmlformats.org/officeDocument/2006/relationships/image" Target="media/image37.png"/><Relationship Id="rId44" Type="http://schemas.openxmlformats.org/officeDocument/2006/relationships/image" Target="media/image36.png"/><Relationship Id="rId43" Type="http://schemas.openxmlformats.org/officeDocument/2006/relationships/image" Target="media/image35.pn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jpeg"/><Relationship Id="rId4" Type="http://schemas.openxmlformats.org/officeDocument/2006/relationships/footer" Target="footer1.xml"/><Relationship Id="rId39" Type="http://schemas.openxmlformats.org/officeDocument/2006/relationships/image" Target="media/image31.jpeg"/><Relationship Id="rId38" Type="http://schemas.openxmlformats.org/officeDocument/2006/relationships/hyperlink" Target="https://mp.weixin.qq.com/mp/appmsgalbum?action=getalbum%26__biz=MzI2ODQ0MTMyMg==%26scene=1%26album_id=2230688618044538884%26count=3#wechat_redirect" TargetMode="External"/><Relationship Id="rId37" Type="http://schemas.openxmlformats.org/officeDocument/2006/relationships/image" Target="media/image30.jpeg"/><Relationship Id="rId36" Type="http://schemas.openxmlformats.org/officeDocument/2006/relationships/hyperlink" Target="https://mp.weixin.qq.com/mp/appmsgalbum?__biz=MzI2ODQ0MTMyMg==%26action=getalbum%26album_id=2127799958811525121%26scene=173%26from_msgid=2247492197%26from_itemidx=2%26count=3%26nolastread=1#wechat_redirect" TargetMode="External"/><Relationship Id="rId35" Type="http://schemas.openxmlformats.org/officeDocument/2006/relationships/image" Target="media/image29.jpeg"/><Relationship Id="rId34" Type="http://schemas.openxmlformats.org/officeDocument/2006/relationships/hyperlink" Target="https://mp.weixin.qq.com/mp/appmsgalbum?__biz=MzI2ODQ0MTMyMg==%26action=getalbum%26album_id=1836523300349362178%26scene=21%26from_msgid=2247491468%26from_itemidx=1%26count=3%26nolastread=1#wechat_redirect" TargetMode="External"/><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header" Target="header1.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13493</Words>
  <Characters>15420</Characters>
  <Lines>171</Lines>
  <Paragraphs>48</Paragraphs>
  <TotalTime>7</TotalTime>
  <ScaleCrop>false</ScaleCrop>
  <LinksUpToDate>false</LinksUpToDate>
  <CharactersWithSpaces>16204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2020-01-18T00:49:00Z</dcterms:created>
  <dc:creator>Administrator</dc:creator>
  <cp:lastModifiedBy>wgy</cp:lastModifiedBy>
  <dcterms:modified xsi:type="dcterms:W3CDTF">2023-12-30T09:33:06Z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537C2E9F9AD048D1AA79E829273FED5D_13</vt:lpwstr>
  </property>
  <property fmtid="{D5CDD505-2E9C-101B-9397-08002B2CF9AE}" pid="4" name="commondata">
    <vt:lpwstr>eyJoZGlkIjoiN2YzNjBkOTgyNWQ1YTMxYzM3MzMwNWFiODNmOWIzYWMifQ==</vt:lpwstr>
  </property>
</Properties>
</file>