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4"/>
        </w:rPr>
      </w:pPr>
      <w:r>
        <w:rPr>
          <w:rFonts w:hint="eastAsia"/>
          <w:sz w:val="28"/>
          <w:szCs w:val="24"/>
        </w:rPr>
        <w:t>附件1</w:t>
      </w:r>
      <w:r>
        <w:rPr>
          <w:rFonts w:hint="eastAsia"/>
          <w:sz w:val="28"/>
          <w:szCs w:val="24"/>
          <w:lang w:val="en-US" w:eastAsia="zh-CN"/>
        </w:rPr>
        <w:t xml:space="preserve"> </w:t>
      </w:r>
      <w:r>
        <w:rPr>
          <w:rFonts w:hint="eastAsia"/>
          <w:sz w:val="28"/>
          <w:szCs w:val="24"/>
        </w:rPr>
        <w:t>评选方案</w:t>
      </w:r>
    </w:p>
    <w:p>
      <w:pPr>
        <w:rPr>
          <w:rFonts w:hint="eastAsia"/>
        </w:rPr>
      </w:pPr>
    </w:p>
    <w:p>
      <w:pPr>
        <w:jc w:val="center"/>
        <w:rPr>
          <w:rFonts w:hint="eastAsia" w:ascii="黑体" w:hAnsi="黑体" w:eastAsia="黑体" w:cs="黑体"/>
          <w:sz w:val="40"/>
          <w:szCs w:val="40"/>
          <w:lang w:val="en-US" w:eastAsia="zh-CN"/>
        </w:rPr>
      </w:pPr>
      <w:r>
        <w:rPr>
          <w:rFonts w:hint="eastAsia" w:ascii="黑体" w:hAnsi="黑体" w:eastAsia="黑体" w:cs="黑体"/>
          <w:sz w:val="40"/>
          <w:szCs w:val="40"/>
          <w:lang w:val="en-US" w:eastAsia="zh-CN"/>
        </w:rPr>
        <w:t>2022第三届山西省铸造行业优秀企业评选与表彰</w:t>
      </w:r>
    </w:p>
    <w:p>
      <w:pPr>
        <w:jc w:val="center"/>
        <w:rPr>
          <w:rFonts w:hint="eastAsia" w:ascii="黑体" w:hAnsi="黑体" w:eastAsia="黑体" w:cs="黑体"/>
          <w:sz w:val="21"/>
          <w:szCs w:val="21"/>
          <w:lang w:val="en-US" w:eastAsia="zh-CN"/>
        </w:rPr>
      </w:pPr>
    </w:p>
    <w:p>
      <w:pPr>
        <w:jc w:val="center"/>
        <w:rPr>
          <w:rFonts w:hint="eastAsia" w:ascii="黑体" w:hAnsi="黑体" w:eastAsia="黑体" w:cs="黑体"/>
          <w:sz w:val="40"/>
          <w:szCs w:val="40"/>
        </w:rPr>
      </w:pPr>
      <w:r>
        <w:rPr>
          <w:rFonts w:hint="eastAsia" w:ascii="黑体" w:hAnsi="黑体" w:eastAsia="黑体" w:cs="黑体"/>
          <w:sz w:val="40"/>
          <w:szCs w:val="40"/>
          <w:lang w:val="en-US" w:eastAsia="zh-CN"/>
        </w:rPr>
        <w:t xml:space="preserve">活 动 </w:t>
      </w:r>
      <w:r>
        <w:rPr>
          <w:rFonts w:hint="eastAsia" w:ascii="黑体" w:hAnsi="黑体" w:eastAsia="黑体" w:cs="黑体"/>
          <w:sz w:val="40"/>
          <w:szCs w:val="40"/>
        </w:rPr>
        <w:t>方</w:t>
      </w:r>
      <w:r>
        <w:rPr>
          <w:rFonts w:hint="eastAsia" w:ascii="黑体" w:hAnsi="黑体" w:eastAsia="黑体" w:cs="黑体"/>
          <w:sz w:val="40"/>
          <w:szCs w:val="40"/>
          <w:lang w:val="en-US" w:eastAsia="zh-CN"/>
        </w:rPr>
        <w:t xml:space="preserve"> </w:t>
      </w:r>
      <w:r>
        <w:rPr>
          <w:rFonts w:hint="eastAsia" w:ascii="黑体" w:hAnsi="黑体" w:eastAsia="黑体" w:cs="黑体"/>
          <w:sz w:val="40"/>
          <w:szCs w:val="40"/>
        </w:rPr>
        <w:t>案</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一、评选目的</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提升“山西铸造”的影响，客观、真实的反映山西铸造企业近年来快速发展壮大的成绩;扩大行业重点骨干企业的品牌形象，更好地促进企业间相互交流，参与国内外市场竞争，带动全行业整体水平的提高。</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二、评选原则</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严格按照“统一方法、统一标准、分类实施”的工作方针，遵循公开、公正与公平的原则；</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遵循客观全面的原则，既要客观分析企业现有状况指标又要进行多层次、多角度的综合评价，充分体现对企业的全面性评价；</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遵循企业自愿参与的原则（此项活动不收取任何评审费用）；</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lang w:val="en-US" w:eastAsia="zh-CN"/>
        </w:rPr>
      </w:pP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三、评选奖项</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1、铸造行业</w:t>
      </w:r>
      <w:r>
        <w:rPr>
          <w:rFonts w:hint="eastAsia" w:ascii="仿宋" w:hAnsi="仿宋" w:eastAsia="仿宋" w:cs="仿宋"/>
          <w:sz w:val="28"/>
          <w:szCs w:val="28"/>
        </w:rPr>
        <w:t>综和实力前30 名</w:t>
      </w:r>
      <w:r>
        <w:rPr>
          <w:rFonts w:hint="eastAsia" w:ascii="仿宋" w:hAnsi="仿宋" w:eastAsia="仿宋" w:cs="仿宋"/>
          <w:sz w:val="28"/>
          <w:szCs w:val="28"/>
          <w:lang w:eastAsia="zh-CN"/>
        </w:rPr>
        <w:t>；</w:t>
      </w:r>
    </w:p>
    <w:p>
      <w:pPr>
        <w:keepNext w:val="0"/>
        <w:keepLines w:val="0"/>
        <w:pageBreakBefore w:val="0"/>
        <w:widowControl/>
        <w:kinsoku/>
        <w:wordWrap/>
        <w:overflowPunct/>
        <w:topLinePunct w:val="0"/>
        <w:autoSpaceDE/>
        <w:autoSpaceDN/>
        <w:bidi w:val="0"/>
        <w:adjustRightInd/>
        <w:snapToGrid/>
        <w:spacing w:line="480" w:lineRule="exact"/>
        <w:ind w:firstLine="560"/>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rPr>
        <w:t>专、特、精、新优势企业</w:t>
      </w:r>
      <w:r>
        <w:rPr>
          <w:rFonts w:hint="eastAsia" w:ascii="仿宋" w:hAnsi="仿宋" w:eastAsia="仿宋" w:cs="仿宋"/>
          <w:sz w:val="28"/>
          <w:szCs w:val="28"/>
          <w:lang w:val="en-US" w:eastAsia="zh-CN"/>
        </w:rPr>
        <w:t>(</w:t>
      </w:r>
      <w:r>
        <w:rPr>
          <w:rFonts w:hint="eastAsia" w:ascii="仿宋" w:hAnsi="仿宋" w:eastAsia="仿宋" w:cs="仿宋"/>
          <w:sz w:val="28"/>
          <w:szCs w:val="28"/>
        </w:rPr>
        <w:t>不超过</w:t>
      </w:r>
      <w:r>
        <w:rPr>
          <w:rFonts w:hint="eastAsia" w:ascii="仿宋" w:hAnsi="仿宋" w:eastAsia="仿宋" w:cs="仿宋"/>
          <w:sz w:val="28"/>
          <w:szCs w:val="28"/>
          <w:lang w:val="en-US" w:eastAsia="zh-CN"/>
        </w:rPr>
        <w:t>2</w:t>
      </w:r>
      <w:r>
        <w:rPr>
          <w:rFonts w:hint="eastAsia" w:ascii="仿宋" w:hAnsi="仿宋" w:eastAsia="仿宋" w:cs="仿宋"/>
          <w:color w:val="000000" w:themeColor="text1"/>
          <w:sz w:val="28"/>
          <w:szCs w:val="28"/>
          <w14:textFill>
            <w14:solidFill>
              <w14:schemeClr w14:val="tx1"/>
            </w14:solidFill>
          </w14:textFill>
        </w:rPr>
        <w:t>0</w:t>
      </w:r>
      <w:r>
        <w:rPr>
          <w:rFonts w:hint="eastAsia" w:ascii="仿宋" w:hAnsi="仿宋" w:eastAsia="仿宋" w:cs="仿宋"/>
          <w:color w:val="FF0000"/>
          <w:sz w:val="28"/>
          <w:szCs w:val="28"/>
        </w:rPr>
        <w:t xml:space="preserve"> </w:t>
      </w:r>
      <w:r>
        <w:rPr>
          <w:rFonts w:hint="eastAsia" w:ascii="仿宋" w:hAnsi="仿宋" w:eastAsia="仿宋" w:cs="仿宋"/>
          <w:sz w:val="28"/>
          <w:szCs w:val="28"/>
        </w:rPr>
        <w:t>名</w:t>
      </w:r>
      <w:r>
        <w:rPr>
          <w:rFonts w:hint="eastAsia" w:ascii="仿宋" w:hAnsi="仿宋" w:eastAsia="仿宋" w:cs="仿宋"/>
          <w:sz w:val="28"/>
          <w:szCs w:val="28"/>
          <w:lang w:val="en-US" w:eastAsia="zh-CN"/>
        </w:rPr>
        <w:t>)</w:t>
      </w:r>
      <w:r>
        <w:rPr>
          <w:rFonts w:hint="eastAsia" w:ascii="仿宋" w:hAnsi="仿宋" w:eastAsia="仿宋" w:cs="仿宋"/>
          <w:sz w:val="28"/>
          <w:szCs w:val="28"/>
          <w:lang w:eastAsia="zh-CN"/>
        </w:rPr>
        <w:t>；</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3、优秀铸造装备和原辅材料</w:t>
      </w:r>
      <w:r>
        <w:rPr>
          <w:rFonts w:hint="eastAsia" w:ascii="仿宋" w:hAnsi="仿宋" w:eastAsia="仿宋" w:cs="仿宋"/>
          <w:sz w:val="28"/>
          <w:szCs w:val="28"/>
        </w:rPr>
        <w:t>供应商。</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lang w:eastAsia="zh-CN"/>
        </w:rPr>
      </w:pP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rPr>
      </w:pPr>
      <w:r>
        <w:rPr>
          <w:rFonts w:hint="eastAsia" w:ascii="仿宋" w:hAnsi="仿宋" w:eastAsia="仿宋" w:cs="仿宋"/>
          <w:b/>
          <w:bCs/>
          <w:sz w:val="28"/>
          <w:szCs w:val="28"/>
          <w:lang w:eastAsia="zh-CN"/>
        </w:rPr>
        <w:t>四、</w:t>
      </w:r>
      <w:r>
        <w:rPr>
          <w:rFonts w:hint="eastAsia" w:ascii="仿宋" w:hAnsi="仿宋" w:eastAsia="仿宋" w:cs="仿宋"/>
          <w:b/>
          <w:bCs/>
          <w:sz w:val="28"/>
          <w:szCs w:val="28"/>
        </w:rPr>
        <w:t>评选组织</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color w:val="auto"/>
          <w:sz w:val="28"/>
          <w:szCs w:val="28"/>
        </w:rPr>
      </w:pPr>
      <w:r>
        <w:rPr>
          <w:rFonts w:hint="eastAsia" w:ascii="仿宋" w:hAnsi="仿宋" w:eastAsia="仿宋" w:cs="仿宋"/>
          <w:color w:val="auto"/>
          <w:sz w:val="28"/>
          <w:szCs w:val="28"/>
        </w:rPr>
        <w:t>评选活动在山西省铸造行业协会、山西省铸造学会理事会领导下</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color w:val="auto"/>
          <w:sz w:val="28"/>
          <w:szCs w:val="28"/>
          <w:lang w:eastAsia="zh-CN"/>
        </w:rPr>
      </w:pPr>
      <w:r>
        <w:rPr>
          <w:rFonts w:hint="eastAsia" w:ascii="仿宋" w:hAnsi="仿宋" w:eastAsia="仿宋" w:cs="仿宋"/>
          <w:color w:val="auto"/>
          <w:sz w:val="28"/>
          <w:szCs w:val="28"/>
        </w:rPr>
        <w:t>进行，下设评选工作办公室和专家评审委员会，具体评选工作由评选工作办公室组织实施。</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lang w:eastAsia="zh-CN"/>
        </w:rPr>
      </w:pP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rPr>
      </w:pPr>
      <w:r>
        <w:rPr>
          <w:rFonts w:hint="eastAsia" w:ascii="仿宋" w:hAnsi="仿宋" w:eastAsia="仿宋" w:cs="仿宋"/>
          <w:b/>
          <w:bCs/>
          <w:sz w:val="28"/>
          <w:szCs w:val="28"/>
          <w:lang w:eastAsia="zh-CN"/>
        </w:rPr>
        <w:t>五、</w:t>
      </w:r>
      <w:r>
        <w:rPr>
          <w:rFonts w:hint="eastAsia" w:ascii="仿宋" w:hAnsi="仿宋" w:eastAsia="仿宋" w:cs="仿宋"/>
          <w:b/>
          <w:bCs/>
          <w:sz w:val="28"/>
          <w:szCs w:val="28"/>
        </w:rPr>
        <w:t>评选范围</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凡在山西省境内工商管理部门正式注册的铸造生产企业及为铸造企业服务的装备、原辅材料企业，均可参加评选。</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rPr>
      </w:pPr>
      <w:r>
        <w:rPr>
          <w:rFonts w:hint="eastAsia" w:ascii="仿宋" w:hAnsi="仿宋" w:eastAsia="仿宋" w:cs="仿宋"/>
          <w:b/>
          <w:bCs/>
          <w:sz w:val="28"/>
          <w:szCs w:val="28"/>
          <w:lang w:eastAsia="zh-CN"/>
        </w:rPr>
        <w:t>六、</w:t>
      </w:r>
      <w:r>
        <w:rPr>
          <w:rFonts w:hint="eastAsia" w:ascii="仿宋" w:hAnsi="仿宋" w:eastAsia="仿宋" w:cs="仿宋"/>
          <w:b/>
          <w:bCs/>
          <w:sz w:val="28"/>
          <w:szCs w:val="28"/>
        </w:rPr>
        <w:t>评选资格</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color w:val="000000" w:themeColor="text1"/>
          <w:sz w:val="28"/>
          <w:szCs w:val="28"/>
          <w:lang w:eastAsia="zh-CN"/>
          <w14:textFill>
            <w14:solidFill>
              <w14:schemeClr w14:val="tx1"/>
            </w14:solidFill>
          </w14:textFill>
        </w:rPr>
        <w:t>评选</w:t>
      </w:r>
      <w:r>
        <w:rPr>
          <w:rFonts w:hint="eastAsia" w:ascii="仿宋" w:hAnsi="仿宋" w:eastAsia="仿宋" w:cs="仿宋"/>
          <w:color w:val="000000" w:themeColor="text1"/>
          <w:sz w:val="28"/>
          <w:szCs w:val="28"/>
          <w:lang w:val="en-US" w:eastAsia="zh-CN"/>
          <w14:textFill>
            <w14:solidFill>
              <w14:schemeClr w14:val="tx1"/>
            </w14:solidFill>
          </w14:textFill>
        </w:rPr>
        <w:t>企业应</w:t>
      </w:r>
      <w:r>
        <w:rPr>
          <w:rFonts w:hint="eastAsia" w:ascii="仿宋" w:hAnsi="仿宋" w:eastAsia="仿宋" w:cs="仿宋"/>
          <w:color w:val="000000" w:themeColor="text1"/>
          <w:sz w:val="28"/>
          <w:szCs w:val="28"/>
          <w14:textFill>
            <w14:solidFill>
              <w14:schemeClr w14:val="tx1"/>
            </w14:solidFill>
          </w14:textFill>
        </w:rPr>
        <w:t>遵守国家有关法律法规、符合《铸造行业</w:t>
      </w:r>
      <w:r>
        <w:rPr>
          <w:rFonts w:hint="eastAsia" w:ascii="仿宋" w:hAnsi="仿宋" w:eastAsia="仿宋" w:cs="仿宋"/>
          <w:color w:val="5B9BD5" w:themeColor="accent1"/>
          <w:sz w:val="28"/>
          <w:szCs w:val="28"/>
          <w:lang w:eastAsia="zh-CN"/>
          <w14:textFill>
            <w14:solidFill>
              <w14:schemeClr w14:val="accent1"/>
            </w14:solidFill>
          </w14:textFill>
        </w:rPr>
        <w:t>规范</w:t>
      </w:r>
      <w:r>
        <w:rPr>
          <w:rFonts w:hint="eastAsia" w:ascii="仿宋" w:hAnsi="仿宋" w:eastAsia="仿宋" w:cs="仿宋"/>
          <w:color w:val="000000" w:themeColor="text1"/>
          <w:sz w:val="28"/>
          <w:szCs w:val="28"/>
          <w14:textFill>
            <w14:solidFill>
              <w14:schemeClr w14:val="tx1"/>
            </w14:solidFill>
          </w14:textFill>
        </w:rPr>
        <w:t>条件》</w:t>
      </w:r>
      <w:r>
        <w:rPr>
          <w:rFonts w:hint="eastAsia" w:ascii="仿宋" w:hAnsi="仿宋" w:eastAsia="仿宋" w:cs="仿宋"/>
          <w:sz w:val="28"/>
          <w:szCs w:val="28"/>
        </w:rPr>
        <w:t>；</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评选企业近</w:t>
      </w:r>
      <w:r>
        <w:rPr>
          <w:rFonts w:hint="eastAsia" w:ascii="仿宋" w:hAnsi="仿宋" w:eastAsia="仿宋" w:cs="仿宋"/>
          <w:sz w:val="28"/>
          <w:szCs w:val="28"/>
          <w:lang w:val="en-US" w:eastAsia="zh-CN"/>
        </w:rPr>
        <w:t>三</w:t>
      </w:r>
      <w:r>
        <w:rPr>
          <w:rFonts w:hint="eastAsia" w:ascii="仿宋" w:hAnsi="仿宋" w:eastAsia="仿宋" w:cs="仿宋"/>
          <w:sz w:val="28"/>
          <w:szCs w:val="28"/>
        </w:rPr>
        <w:t>年(</w:t>
      </w:r>
      <w:r>
        <w:rPr>
          <w:rFonts w:hint="eastAsia" w:ascii="仿宋" w:hAnsi="仿宋" w:eastAsia="仿宋" w:cs="仿宋"/>
          <w:sz w:val="28"/>
          <w:szCs w:val="28"/>
          <w:lang w:val="en-US" w:eastAsia="zh-CN"/>
        </w:rPr>
        <w:t>2019--2021</w:t>
      </w:r>
      <w:r>
        <w:rPr>
          <w:rFonts w:hint="eastAsia" w:ascii="仿宋" w:hAnsi="仿宋" w:eastAsia="仿宋" w:cs="仿宋"/>
          <w:sz w:val="28"/>
          <w:szCs w:val="28"/>
        </w:rPr>
        <w:t>)内无重大安全事故、无偷漏税收、无违反用工及违反有关法律的行为；</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企业近</w:t>
      </w:r>
      <w:r>
        <w:rPr>
          <w:rFonts w:hint="eastAsia" w:ascii="仿宋" w:hAnsi="仿宋" w:eastAsia="仿宋" w:cs="仿宋"/>
          <w:sz w:val="28"/>
          <w:szCs w:val="28"/>
          <w:lang w:val="en-US" w:eastAsia="zh-CN"/>
        </w:rPr>
        <w:t>三</w:t>
      </w:r>
      <w:r>
        <w:rPr>
          <w:rFonts w:hint="eastAsia" w:ascii="仿宋" w:hAnsi="仿宋" w:eastAsia="仿宋" w:cs="仿宋"/>
          <w:sz w:val="28"/>
          <w:szCs w:val="28"/>
        </w:rPr>
        <w:t>年平均营业收入：综合30 强在10000 万元以上；专、</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rPr>
      </w:pPr>
      <w:r>
        <w:rPr>
          <w:rFonts w:hint="eastAsia" w:ascii="仿宋" w:hAnsi="仿宋" w:eastAsia="仿宋" w:cs="仿宋"/>
          <w:sz w:val="28"/>
          <w:szCs w:val="28"/>
        </w:rPr>
        <w:t>特、精、新优势铸造企业在3000 万元以上;</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从事铸造原辅材料、设备、仪器生产与销售相关业务的企业</w:t>
      </w:r>
      <w:r>
        <w:rPr>
          <w:rFonts w:hint="eastAsia" w:ascii="仿宋" w:hAnsi="仿宋" w:eastAsia="仿宋" w:cs="仿宋"/>
          <w:sz w:val="28"/>
          <w:szCs w:val="28"/>
          <w:lang w:eastAsia="zh-CN"/>
        </w:rPr>
        <w:t>。</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lang w:val="en-US" w:eastAsia="zh-CN"/>
        </w:rPr>
      </w:pPr>
      <w:r>
        <w:rPr>
          <w:rFonts w:hint="eastAsia" w:ascii="仿宋" w:hAnsi="仿宋" w:eastAsia="仿宋" w:cs="仿宋"/>
          <w:b/>
          <w:bCs/>
          <w:sz w:val="28"/>
          <w:szCs w:val="28"/>
          <w:lang w:eastAsia="zh-CN"/>
        </w:rPr>
        <w:t>七、评价指标</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eastAsia="zh-CN"/>
        </w:rPr>
        <w:t>评选企业的</w:t>
      </w:r>
      <w:r>
        <w:rPr>
          <w:rFonts w:hint="eastAsia" w:ascii="仿宋" w:hAnsi="仿宋" w:eastAsia="仿宋" w:cs="仿宋"/>
          <w:sz w:val="28"/>
          <w:szCs w:val="28"/>
        </w:rPr>
        <w:t>评价方法按类别和权重进行加权计分，评价指标分为企业经营业绩、基础管理</w:t>
      </w:r>
      <w:r>
        <w:rPr>
          <w:rFonts w:hint="eastAsia" w:ascii="仿宋" w:hAnsi="仿宋" w:eastAsia="仿宋" w:cs="仿宋"/>
          <w:sz w:val="28"/>
          <w:szCs w:val="28"/>
          <w:lang w:eastAsia="zh-CN"/>
        </w:rPr>
        <w:t>、</w:t>
      </w:r>
      <w:r>
        <w:rPr>
          <w:rFonts w:hint="eastAsia" w:ascii="仿宋" w:hAnsi="仿宋" w:eastAsia="仿宋" w:cs="仿宋"/>
          <w:sz w:val="28"/>
          <w:szCs w:val="28"/>
        </w:rPr>
        <w:t>人力资源、自主创新、社会责任</w:t>
      </w:r>
      <w:r>
        <w:rPr>
          <w:rFonts w:hint="eastAsia" w:ascii="仿宋" w:hAnsi="仿宋" w:eastAsia="仿宋" w:cs="仿宋"/>
          <w:sz w:val="28"/>
          <w:szCs w:val="28"/>
          <w:lang w:eastAsia="zh-CN"/>
        </w:rPr>
        <w:t>、</w:t>
      </w:r>
      <w:r>
        <w:rPr>
          <w:rFonts w:hint="eastAsia" w:ascii="仿宋" w:hAnsi="仿宋" w:eastAsia="仿宋" w:cs="仿宋"/>
          <w:sz w:val="28"/>
          <w:szCs w:val="28"/>
        </w:rPr>
        <w:t>行业影响</w:t>
      </w:r>
      <w:r>
        <w:rPr>
          <w:rFonts w:hint="eastAsia" w:ascii="仿宋" w:hAnsi="仿宋" w:eastAsia="仿宋" w:cs="仿宋"/>
          <w:sz w:val="28"/>
          <w:szCs w:val="28"/>
          <w:lang w:eastAsia="zh-CN"/>
        </w:rPr>
        <w:t>和</w:t>
      </w:r>
      <w:r>
        <w:rPr>
          <w:rFonts w:hint="eastAsia" w:ascii="仿宋" w:hAnsi="仿宋" w:eastAsia="仿宋" w:cs="仿宋"/>
          <w:sz w:val="28"/>
          <w:szCs w:val="28"/>
        </w:rPr>
        <w:t>参与协会活动等</w:t>
      </w:r>
      <w:r>
        <w:rPr>
          <w:rFonts w:hint="eastAsia" w:ascii="仿宋" w:hAnsi="仿宋" w:eastAsia="仿宋" w:cs="仿宋"/>
          <w:sz w:val="28"/>
          <w:szCs w:val="28"/>
          <w:lang w:eastAsia="zh-CN"/>
        </w:rPr>
        <w:t>六</w:t>
      </w:r>
      <w:r>
        <w:rPr>
          <w:rFonts w:hint="eastAsia" w:ascii="仿宋" w:hAnsi="仿宋" w:eastAsia="仿宋" w:cs="仿宋"/>
          <w:sz w:val="28"/>
          <w:szCs w:val="28"/>
        </w:rPr>
        <w:t>大类指标。</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经营业绩指标：主要反映企业的盈利水平和经营环境，包括销售收入、利润率、人均产值等。</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基础管理指标：主要反映企业在制度建设、内部控制、企业文化与信息化建设、法律事务、管理体系有效性，包括质量、环境、安全</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rPr>
      </w:pPr>
      <w:r>
        <w:rPr>
          <w:rFonts w:hint="eastAsia" w:ascii="仿宋" w:hAnsi="仿宋" w:eastAsia="仿宋" w:cs="仿宋"/>
          <w:sz w:val="28"/>
          <w:szCs w:val="28"/>
        </w:rPr>
        <w:t>管理等。</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自主创新指标：主要反映企业在创新</w:t>
      </w:r>
      <w:r>
        <w:rPr>
          <w:rFonts w:hint="eastAsia" w:ascii="仿宋" w:hAnsi="仿宋" w:eastAsia="仿宋" w:cs="仿宋"/>
          <w:sz w:val="28"/>
          <w:szCs w:val="28"/>
          <w:lang w:val="en-US" w:eastAsia="zh-CN"/>
        </w:rPr>
        <w:t>发展</w:t>
      </w:r>
      <w:r>
        <w:rPr>
          <w:rFonts w:hint="eastAsia" w:ascii="仿宋" w:hAnsi="仿宋" w:eastAsia="仿宋" w:cs="仿宋"/>
          <w:sz w:val="28"/>
          <w:szCs w:val="28"/>
        </w:rPr>
        <w:t>、工艺革新、技术改造、新产品开发、品牌培育、市场拓展、专利申请及核心技术研发等方面的措施及成效。</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人力资源指标：主要反映企业人才结构、培养、引进、储备、人事调配、员工绩效管理、分配与激励等方面的情况。</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社会责任指标：主要反映企业在资源节约、</w:t>
      </w:r>
      <w:r>
        <w:rPr>
          <w:rFonts w:hint="eastAsia" w:ascii="仿宋" w:hAnsi="仿宋" w:eastAsia="仿宋" w:cs="仿宋"/>
          <w:color w:val="auto"/>
          <w:sz w:val="28"/>
          <w:szCs w:val="28"/>
          <w:lang w:val="en-US" w:eastAsia="zh-CN"/>
        </w:rPr>
        <w:t>能耗、</w:t>
      </w:r>
      <w:r>
        <w:rPr>
          <w:rFonts w:hint="eastAsia" w:ascii="仿宋" w:hAnsi="仿宋" w:eastAsia="仿宋" w:cs="仿宋"/>
          <w:sz w:val="28"/>
          <w:szCs w:val="28"/>
        </w:rPr>
        <w:t>环境保护、吸纳就业</w:t>
      </w:r>
      <w:r>
        <w:rPr>
          <w:rFonts w:hint="eastAsia" w:ascii="仿宋" w:hAnsi="仿宋" w:eastAsia="仿宋" w:cs="仿宋"/>
          <w:sz w:val="28"/>
          <w:szCs w:val="28"/>
          <w:lang w:eastAsia="zh-CN"/>
        </w:rPr>
        <w:t>、</w:t>
      </w:r>
      <w:r>
        <w:rPr>
          <w:rFonts w:hint="eastAsia" w:ascii="仿宋" w:hAnsi="仿宋" w:eastAsia="仿宋" w:cs="仿宋"/>
          <w:sz w:val="28"/>
          <w:szCs w:val="28"/>
        </w:rPr>
        <w:t>安全生产、上缴税收、商业诚信、履行社会责任等方面的贡献程度。</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rPr>
      </w:pPr>
      <w:r>
        <w:rPr>
          <w:rFonts w:hint="eastAsia" w:ascii="仿宋" w:hAnsi="仿宋" w:eastAsia="仿宋" w:cs="仿宋"/>
          <w:sz w:val="28"/>
          <w:szCs w:val="28"/>
        </w:rPr>
        <w:t>行业影响指标：主要反映对国民经济及区域经济的影响与带动能力、主要产品的市场认可程度、是否具有核心竞争能力以及产业引导能力等方面的情况。</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参加行业活动指标：主要指积极参与行业组织的调研、统计、会展、会议等活动。</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rPr>
      </w:pPr>
      <w:r>
        <w:rPr>
          <w:rFonts w:hint="eastAsia" w:ascii="仿宋" w:hAnsi="仿宋" w:eastAsia="仿宋" w:cs="仿宋"/>
          <w:b/>
          <w:bCs/>
          <w:sz w:val="28"/>
          <w:szCs w:val="28"/>
          <w:lang w:eastAsia="zh-CN"/>
        </w:rPr>
        <w:t>八</w:t>
      </w:r>
      <w:r>
        <w:rPr>
          <w:rFonts w:hint="eastAsia" w:ascii="仿宋" w:hAnsi="仿宋" w:eastAsia="仿宋" w:cs="仿宋"/>
          <w:b/>
          <w:bCs/>
          <w:sz w:val="28"/>
          <w:szCs w:val="28"/>
        </w:rPr>
        <w:t>、方法步骤</w:t>
      </w:r>
    </w:p>
    <w:p>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申报程序</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推荐与自荐相结合</w:t>
      </w:r>
    </w:p>
    <w:p>
      <w:pPr>
        <w:keepNext w:val="0"/>
        <w:keepLines w:val="0"/>
        <w:pageBreakBefore w:val="0"/>
        <w:widowControl/>
        <w:kinsoku/>
        <w:wordWrap/>
        <w:overflowPunct/>
        <w:topLinePunct w:val="0"/>
        <w:autoSpaceDE/>
        <w:autoSpaceDN/>
        <w:bidi w:val="0"/>
        <w:adjustRightInd/>
        <w:snapToGrid/>
        <w:spacing w:line="480" w:lineRule="exact"/>
        <w:ind w:firstLine="280" w:firstLineChars="100"/>
        <w:textAlignment w:val="auto"/>
        <w:outlineLvl w:val="9"/>
        <w:rPr>
          <w:rFonts w:hint="eastAsia" w:ascii="仿宋" w:hAnsi="仿宋" w:eastAsia="仿宋" w:cs="仿宋"/>
          <w:sz w:val="28"/>
          <w:szCs w:val="28"/>
        </w:rPr>
      </w:pPr>
      <w:r>
        <w:rPr>
          <w:rFonts w:hint="eastAsia" w:ascii="仿宋" w:hAnsi="仿宋" w:eastAsia="仿宋" w:cs="仿宋"/>
          <w:sz w:val="28"/>
          <w:szCs w:val="28"/>
        </w:rPr>
        <w:t>（1）推荐：地方铸造协(学)会和相关管理部门（经信局，中小企</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rPr>
      </w:pPr>
      <w:r>
        <w:rPr>
          <w:rFonts w:hint="eastAsia" w:ascii="仿宋" w:hAnsi="仿宋" w:eastAsia="仿宋" w:cs="仿宋"/>
          <w:sz w:val="28"/>
          <w:szCs w:val="28"/>
        </w:rPr>
        <w:t>业局等）可推荐本地区和本领域的优秀铸造企业参加评选。</w:t>
      </w:r>
    </w:p>
    <w:p>
      <w:pPr>
        <w:keepNext w:val="0"/>
        <w:keepLines w:val="0"/>
        <w:pageBreakBefore w:val="0"/>
        <w:widowControl/>
        <w:kinsoku/>
        <w:wordWrap/>
        <w:overflowPunct/>
        <w:topLinePunct w:val="0"/>
        <w:autoSpaceDE/>
        <w:autoSpaceDN/>
        <w:bidi w:val="0"/>
        <w:adjustRightInd/>
        <w:snapToGrid/>
        <w:spacing w:line="480" w:lineRule="exact"/>
        <w:ind w:firstLine="280" w:firstLineChars="100"/>
        <w:textAlignment w:val="auto"/>
        <w:outlineLvl w:val="9"/>
        <w:rPr>
          <w:rFonts w:hint="eastAsia" w:ascii="仿宋" w:hAnsi="仿宋" w:eastAsia="仿宋" w:cs="仿宋"/>
          <w:sz w:val="28"/>
          <w:szCs w:val="28"/>
        </w:rPr>
      </w:pPr>
      <w:r>
        <w:rPr>
          <w:rFonts w:hint="eastAsia" w:ascii="仿宋" w:hAnsi="仿宋" w:eastAsia="仿宋" w:cs="仿宋"/>
          <w:sz w:val="28"/>
          <w:szCs w:val="28"/>
        </w:rPr>
        <w:t>（2）自荐：省铸造协（学）会各会员单位可直接向省铸造协（学）</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rPr>
      </w:pPr>
      <w:r>
        <w:rPr>
          <w:rFonts w:hint="eastAsia" w:ascii="仿宋" w:hAnsi="仿宋" w:eastAsia="仿宋" w:cs="仿宋"/>
          <w:sz w:val="28"/>
          <w:szCs w:val="28"/>
        </w:rPr>
        <w:t>会评选工作办公室申报。(注:申报方法以推荐方法优先。)</w:t>
      </w:r>
    </w:p>
    <w:p>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2</w:t>
      </w:r>
      <w:r>
        <w:rPr>
          <w:rFonts w:hint="eastAsia" w:ascii="仿宋" w:hAnsi="仿宋" w:eastAsia="仿宋" w:cs="仿宋"/>
          <w:b/>
          <w:bCs/>
          <w:sz w:val="28"/>
          <w:szCs w:val="28"/>
          <w:lang w:eastAsia="zh-CN"/>
        </w:rPr>
        <w:t>、</w:t>
      </w:r>
      <w:r>
        <w:rPr>
          <w:rFonts w:hint="eastAsia" w:ascii="仿宋" w:hAnsi="仿宋" w:eastAsia="仿宋" w:cs="仿宋"/>
          <w:b/>
          <w:bCs/>
          <w:sz w:val="28"/>
          <w:szCs w:val="28"/>
        </w:rPr>
        <w:t>申报材料</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各参评企业，根据统一要求（</w:t>
      </w:r>
      <w:r>
        <w:rPr>
          <w:rFonts w:hint="eastAsia" w:ascii="仿宋" w:hAnsi="仿宋" w:eastAsia="仿宋" w:cs="仿宋"/>
          <w:sz w:val="28"/>
          <w:szCs w:val="28"/>
          <w:lang w:eastAsia="zh-CN"/>
        </w:rPr>
        <w:t>见</w:t>
      </w:r>
      <w:r>
        <w:rPr>
          <w:rFonts w:hint="eastAsia" w:ascii="仿宋" w:hAnsi="仿宋" w:eastAsia="仿宋" w:cs="仿宋"/>
          <w:sz w:val="28"/>
          <w:szCs w:val="28"/>
        </w:rPr>
        <w:t>附件2）准备相关资料</w:t>
      </w:r>
      <w:r>
        <w:rPr>
          <w:rFonts w:hint="eastAsia" w:ascii="仿宋" w:hAnsi="仿宋" w:eastAsia="仿宋" w:cs="仿宋"/>
          <w:sz w:val="28"/>
          <w:szCs w:val="28"/>
          <w:lang w:val="en-US" w:eastAsia="zh-CN"/>
        </w:rPr>
        <w:t>,</w:t>
      </w:r>
      <w:r>
        <w:rPr>
          <w:rFonts w:hint="eastAsia" w:ascii="仿宋" w:hAnsi="仿宋" w:eastAsia="仿宋" w:cs="仿宋"/>
          <w:sz w:val="28"/>
          <w:szCs w:val="28"/>
        </w:rPr>
        <w:t>在规定时间内递交至评选工作办公室。</w:t>
      </w:r>
    </w:p>
    <w:p>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3</w:t>
      </w:r>
      <w:r>
        <w:rPr>
          <w:rFonts w:hint="eastAsia" w:ascii="仿宋" w:hAnsi="仿宋" w:eastAsia="仿宋" w:cs="仿宋"/>
          <w:b/>
          <w:bCs/>
          <w:sz w:val="28"/>
          <w:szCs w:val="28"/>
          <w:lang w:eastAsia="zh-CN"/>
        </w:rPr>
        <w:t>、</w:t>
      </w:r>
      <w:r>
        <w:rPr>
          <w:rFonts w:hint="eastAsia" w:ascii="仿宋" w:hAnsi="仿宋" w:eastAsia="仿宋" w:cs="仿宋"/>
          <w:b/>
          <w:bCs/>
          <w:sz w:val="28"/>
          <w:szCs w:val="28"/>
        </w:rPr>
        <w:t>申报截止日期</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20</w:t>
      </w:r>
      <w:r>
        <w:rPr>
          <w:rFonts w:hint="eastAsia" w:ascii="仿宋" w:hAnsi="仿宋" w:eastAsia="仿宋" w:cs="仿宋"/>
          <w:sz w:val="28"/>
          <w:szCs w:val="28"/>
          <w:lang w:val="en-US" w:eastAsia="zh-CN"/>
        </w:rPr>
        <w:t>22</w:t>
      </w:r>
      <w:r>
        <w:rPr>
          <w:rFonts w:hint="eastAsia" w:ascii="仿宋" w:hAnsi="仿宋" w:eastAsia="仿宋" w:cs="仿宋"/>
          <w:sz w:val="28"/>
          <w:szCs w:val="28"/>
        </w:rPr>
        <w:t>年</w:t>
      </w:r>
      <w:r>
        <w:rPr>
          <w:rFonts w:hint="eastAsia" w:ascii="仿宋" w:hAnsi="仿宋" w:eastAsia="仿宋" w:cs="仿宋"/>
          <w:sz w:val="28"/>
          <w:szCs w:val="28"/>
          <w:lang w:val="en-US" w:eastAsia="zh-CN"/>
        </w:rPr>
        <w:t>6</w:t>
      </w:r>
      <w:r>
        <w:rPr>
          <w:rFonts w:hint="eastAsia" w:ascii="仿宋" w:hAnsi="仿宋" w:eastAsia="仿宋" w:cs="仿宋"/>
          <w:sz w:val="28"/>
          <w:szCs w:val="28"/>
        </w:rPr>
        <w:t>月</w:t>
      </w:r>
      <w:r>
        <w:rPr>
          <w:rFonts w:hint="eastAsia" w:ascii="仿宋" w:hAnsi="仿宋" w:eastAsia="仿宋" w:cs="仿宋"/>
          <w:sz w:val="28"/>
          <w:szCs w:val="28"/>
          <w:lang w:val="en-US" w:eastAsia="zh-CN"/>
        </w:rPr>
        <w:t>30</w:t>
      </w:r>
      <w:r>
        <w:rPr>
          <w:rFonts w:hint="eastAsia" w:ascii="仿宋" w:hAnsi="仿宋" w:eastAsia="仿宋" w:cs="仿宋"/>
          <w:sz w:val="28"/>
          <w:szCs w:val="28"/>
        </w:rPr>
        <w:t>日。</w:t>
      </w:r>
    </w:p>
    <w:p>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outlineLvl w:val="9"/>
        <w:rPr>
          <w:rFonts w:hint="eastAsia" w:ascii="仿宋" w:hAnsi="仿宋" w:eastAsia="仿宋" w:cs="仿宋"/>
          <w:sz w:val="28"/>
          <w:szCs w:val="28"/>
        </w:rPr>
      </w:pPr>
      <w:r>
        <w:rPr>
          <w:rFonts w:hint="eastAsia" w:ascii="仿宋" w:hAnsi="仿宋" w:eastAsia="仿宋" w:cs="仿宋"/>
          <w:b/>
          <w:bCs/>
          <w:sz w:val="28"/>
          <w:szCs w:val="28"/>
        </w:rPr>
        <w:t>4</w:t>
      </w:r>
      <w:r>
        <w:rPr>
          <w:rFonts w:hint="eastAsia" w:ascii="仿宋" w:hAnsi="仿宋" w:eastAsia="仿宋" w:cs="仿宋"/>
          <w:b/>
          <w:bCs/>
          <w:sz w:val="28"/>
          <w:szCs w:val="28"/>
          <w:lang w:eastAsia="zh-CN"/>
        </w:rPr>
        <w:t>、</w:t>
      </w:r>
      <w:r>
        <w:rPr>
          <w:rFonts w:hint="eastAsia" w:ascii="仿宋" w:hAnsi="仿宋" w:eastAsia="仿宋" w:cs="仿宋"/>
          <w:b/>
          <w:bCs/>
          <w:sz w:val="28"/>
          <w:szCs w:val="28"/>
        </w:rPr>
        <w:t>资质、提交材料审查</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评选工作办公室对申报的相关资料进行审查，如参评企业提交的材料不全或缺少部分内容，在接到材料补充填写通知之日起十天内，可再次提交补充材料上报。</w:t>
      </w:r>
    </w:p>
    <w:p>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5</w:t>
      </w:r>
      <w:r>
        <w:rPr>
          <w:rFonts w:hint="eastAsia" w:ascii="仿宋" w:hAnsi="仿宋" w:eastAsia="仿宋" w:cs="仿宋"/>
          <w:b/>
          <w:bCs/>
          <w:sz w:val="28"/>
          <w:szCs w:val="28"/>
          <w:lang w:eastAsia="zh-CN"/>
        </w:rPr>
        <w:t>、</w:t>
      </w:r>
      <w:r>
        <w:rPr>
          <w:rFonts w:hint="eastAsia" w:ascii="仿宋" w:hAnsi="仿宋" w:eastAsia="仿宋" w:cs="仿宋"/>
          <w:b/>
          <w:bCs/>
          <w:sz w:val="28"/>
          <w:szCs w:val="28"/>
        </w:rPr>
        <w:t>专家评审</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专家评审委员会依据评选标准对上报企业</w:t>
      </w:r>
      <w:r>
        <w:rPr>
          <w:rFonts w:hint="eastAsia" w:ascii="仿宋" w:hAnsi="仿宋" w:eastAsia="仿宋" w:cs="仿宋"/>
          <w:sz w:val="28"/>
          <w:szCs w:val="28"/>
          <w:lang w:eastAsia="zh-CN"/>
        </w:rPr>
        <w:t>、个人资料</w:t>
      </w:r>
      <w:r>
        <w:rPr>
          <w:rFonts w:hint="eastAsia" w:ascii="仿宋" w:hAnsi="仿宋" w:eastAsia="仿宋" w:cs="仿宋"/>
          <w:sz w:val="28"/>
          <w:szCs w:val="28"/>
        </w:rPr>
        <w:t>进行评审。</w:t>
      </w:r>
    </w:p>
    <w:p>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6</w:t>
      </w:r>
      <w:r>
        <w:rPr>
          <w:rFonts w:hint="eastAsia" w:ascii="仿宋" w:hAnsi="仿宋" w:eastAsia="仿宋" w:cs="仿宋"/>
          <w:b/>
          <w:bCs/>
          <w:sz w:val="28"/>
          <w:szCs w:val="28"/>
          <w:lang w:eastAsia="zh-CN"/>
        </w:rPr>
        <w:t>、</w:t>
      </w:r>
      <w:r>
        <w:rPr>
          <w:rFonts w:hint="eastAsia" w:ascii="仿宋" w:hAnsi="仿宋" w:eastAsia="仿宋" w:cs="仿宋"/>
          <w:b/>
          <w:bCs/>
          <w:sz w:val="28"/>
          <w:szCs w:val="28"/>
        </w:rPr>
        <w:t>公示公告</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评选结果将于20</w:t>
      </w:r>
      <w:r>
        <w:rPr>
          <w:rFonts w:hint="eastAsia" w:ascii="仿宋" w:hAnsi="仿宋" w:eastAsia="仿宋" w:cs="仿宋"/>
          <w:sz w:val="28"/>
          <w:szCs w:val="28"/>
          <w:lang w:val="en-US" w:eastAsia="zh-CN"/>
        </w:rPr>
        <w:t>22</w:t>
      </w:r>
      <w:r>
        <w:rPr>
          <w:rFonts w:hint="eastAsia" w:ascii="仿宋" w:hAnsi="仿宋" w:eastAsia="仿宋" w:cs="仿宋"/>
          <w:sz w:val="28"/>
          <w:szCs w:val="28"/>
        </w:rPr>
        <w:t>年</w:t>
      </w:r>
      <w:r>
        <w:rPr>
          <w:rFonts w:hint="eastAsia" w:ascii="仿宋" w:hAnsi="仿宋" w:eastAsia="仿宋" w:cs="仿宋"/>
          <w:sz w:val="28"/>
          <w:szCs w:val="28"/>
          <w:lang w:val="en-US" w:eastAsia="zh-CN"/>
        </w:rPr>
        <w:t>8</w:t>
      </w:r>
      <w:r>
        <w:rPr>
          <w:rFonts w:hint="eastAsia" w:ascii="仿宋" w:hAnsi="仿宋" w:eastAsia="仿宋" w:cs="仿宋"/>
          <w:sz w:val="28"/>
          <w:szCs w:val="28"/>
        </w:rPr>
        <w:t>月</w:t>
      </w:r>
      <w:r>
        <w:rPr>
          <w:rFonts w:hint="eastAsia" w:ascii="仿宋" w:hAnsi="仿宋" w:eastAsia="仿宋" w:cs="仿宋"/>
          <w:sz w:val="28"/>
          <w:szCs w:val="28"/>
          <w:lang w:val="en-US" w:eastAsia="zh-CN"/>
        </w:rPr>
        <w:t>10</w:t>
      </w:r>
      <w:r>
        <w:rPr>
          <w:rFonts w:hint="eastAsia" w:ascii="仿宋" w:hAnsi="仿宋" w:eastAsia="仿宋" w:cs="仿宋"/>
          <w:sz w:val="28"/>
          <w:szCs w:val="28"/>
        </w:rPr>
        <w:t>日前在</w:t>
      </w:r>
      <w:r>
        <w:rPr>
          <w:rFonts w:hint="eastAsia" w:ascii="仿宋" w:hAnsi="仿宋" w:eastAsia="仿宋" w:cs="仿宋"/>
          <w:color w:val="000000" w:themeColor="text1"/>
          <w:sz w:val="28"/>
          <w:szCs w:val="28"/>
          <w:lang w:val="en-US" w:eastAsia="zh-CN"/>
          <w14:textFill>
            <w14:solidFill>
              <w14:schemeClr w14:val="tx1"/>
            </w14:solidFill>
          </w14:textFill>
        </w:rPr>
        <w:t>山西铸造协会网站(</w:t>
      </w:r>
      <w:r>
        <w:rPr>
          <w:rFonts w:hint="eastAsia" w:ascii="仿宋" w:hAnsi="仿宋" w:eastAsia="仿宋" w:cs="仿宋"/>
          <w:color w:val="000000" w:themeColor="text1"/>
          <w:sz w:val="28"/>
          <w:szCs w:val="28"/>
          <w14:textFill>
            <w14:solidFill>
              <w14:schemeClr w14:val="tx1"/>
            </w14:solidFill>
          </w14:textFill>
        </w:rPr>
        <w:t>www.</w:t>
      </w:r>
      <w:r>
        <w:rPr>
          <w:rFonts w:hint="eastAsia" w:ascii="仿宋" w:hAnsi="仿宋" w:eastAsia="仿宋" w:cs="仿宋"/>
          <w:color w:val="000000" w:themeColor="text1"/>
          <w:sz w:val="28"/>
          <w:szCs w:val="28"/>
          <w:lang w:val="en-US" w:eastAsia="zh-CN"/>
          <w14:textFill>
            <w14:solidFill>
              <w14:schemeClr w14:val="tx1"/>
            </w14:solidFill>
          </w14:textFill>
        </w:rPr>
        <w:t>sxzzxh</w:t>
      </w:r>
      <w:r>
        <w:rPr>
          <w:rFonts w:hint="eastAsia" w:ascii="仿宋" w:hAnsi="仿宋" w:eastAsia="仿宋" w:cs="仿宋"/>
          <w:color w:val="000000" w:themeColor="text1"/>
          <w:sz w:val="28"/>
          <w:szCs w:val="28"/>
          <w14:textFill>
            <w14:solidFill>
              <w14:schemeClr w14:val="tx1"/>
            </w14:solidFill>
          </w14:textFill>
        </w:rPr>
        <w:t>.cn）</w:t>
      </w:r>
      <w:r>
        <w:rPr>
          <w:rFonts w:hint="eastAsia" w:ascii="仿宋" w:hAnsi="仿宋" w:eastAsia="仿宋" w:cs="仿宋"/>
          <w:color w:val="000000" w:themeColor="text1"/>
          <w:sz w:val="28"/>
          <w:szCs w:val="28"/>
          <w:lang w:val="en-US"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山西铸造之窗网站（www.shxfoundry.com）和铸造设备与工艺网（www.foundrycn.cn）</w:t>
      </w:r>
      <w:r>
        <w:rPr>
          <w:rFonts w:hint="eastAsia" w:ascii="仿宋" w:hAnsi="仿宋" w:eastAsia="仿宋" w:cs="仿宋"/>
          <w:sz w:val="28"/>
          <w:szCs w:val="28"/>
        </w:rPr>
        <w:t>公示，公示时间为10 个工作日，如对公示结果有异议，可直接向评选办公室反映。</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20</w:t>
      </w:r>
      <w:r>
        <w:rPr>
          <w:rFonts w:hint="eastAsia" w:ascii="仿宋" w:hAnsi="仿宋" w:eastAsia="仿宋" w:cs="仿宋"/>
          <w:sz w:val="28"/>
          <w:szCs w:val="28"/>
          <w:lang w:val="en-US" w:eastAsia="zh-CN"/>
        </w:rPr>
        <w:t>22</w:t>
      </w:r>
      <w:r>
        <w:rPr>
          <w:rFonts w:hint="eastAsia" w:ascii="仿宋" w:hAnsi="仿宋" w:eastAsia="仿宋" w:cs="仿宋"/>
          <w:sz w:val="28"/>
          <w:szCs w:val="28"/>
        </w:rPr>
        <w:t>年</w:t>
      </w:r>
      <w:r>
        <w:rPr>
          <w:rFonts w:hint="eastAsia" w:ascii="仿宋" w:hAnsi="仿宋" w:eastAsia="仿宋" w:cs="仿宋"/>
          <w:sz w:val="28"/>
          <w:szCs w:val="28"/>
          <w:lang w:val="en-US" w:eastAsia="zh-CN"/>
        </w:rPr>
        <w:t>8</w:t>
      </w:r>
      <w:r>
        <w:rPr>
          <w:rFonts w:hint="eastAsia" w:ascii="仿宋" w:hAnsi="仿宋" w:eastAsia="仿宋" w:cs="仿宋"/>
          <w:sz w:val="28"/>
          <w:szCs w:val="28"/>
        </w:rPr>
        <w:t>月</w:t>
      </w:r>
      <w:r>
        <w:rPr>
          <w:rFonts w:hint="eastAsia" w:ascii="仿宋" w:hAnsi="仿宋" w:eastAsia="仿宋" w:cs="仿宋"/>
          <w:sz w:val="28"/>
          <w:szCs w:val="28"/>
          <w:lang w:val="en-US" w:eastAsia="zh-CN"/>
        </w:rPr>
        <w:t>30</w:t>
      </w:r>
      <w:r>
        <w:rPr>
          <w:rFonts w:hint="eastAsia" w:ascii="仿宋" w:hAnsi="仿宋" w:eastAsia="仿宋" w:cs="仿宋"/>
          <w:sz w:val="28"/>
          <w:szCs w:val="28"/>
        </w:rPr>
        <w:t>日前正式公告评审结果，并在《铸造设备与工艺》杂志进行发布。</w:t>
      </w:r>
    </w:p>
    <w:p>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7</w:t>
      </w:r>
      <w:r>
        <w:rPr>
          <w:rFonts w:hint="eastAsia" w:ascii="仿宋" w:hAnsi="仿宋" w:eastAsia="仿宋" w:cs="仿宋"/>
          <w:b/>
          <w:bCs/>
          <w:sz w:val="28"/>
          <w:szCs w:val="28"/>
          <w:lang w:eastAsia="zh-CN"/>
        </w:rPr>
        <w:t>、</w:t>
      </w:r>
      <w:r>
        <w:rPr>
          <w:rFonts w:hint="eastAsia" w:ascii="仿宋" w:hAnsi="仿宋" w:eastAsia="仿宋" w:cs="仿宋"/>
          <w:b/>
          <w:bCs/>
          <w:sz w:val="28"/>
          <w:szCs w:val="28"/>
        </w:rPr>
        <w:t>颁奖授牌</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color w:val="auto"/>
          <w:sz w:val="28"/>
          <w:szCs w:val="28"/>
        </w:rPr>
      </w:pPr>
      <w:r>
        <w:rPr>
          <w:rFonts w:hint="eastAsia" w:ascii="仿宋" w:hAnsi="仿宋" w:eastAsia="仿宋" w:cs="仿宋"/>
          <w:color w:val="auto"/>
          <w:sz w:val="28"/>
          <w:szCs w:val="28"/>
          <w:lang w:eastAsia="zh-CN"/>
        </w:rPr>
        <w:t>在</w:t>
      </w:r>
      <w:r>
        <w:rPr>
          <w:rFonts w:hint="eastAsia" w:ascii="仿宋" w:hAnsi="仿宋" w:eastAsia="仿宋" w:cs="仿宋"/>
          <w:color w:val="auto"/>
          <w:sz w:val="28"/>
          <w:szCs w:val="28"/>
        </w:rPr>
        <w:t>20</w:t>
      </w:r>
      <w:r>
        <w:rPr>
          <w:rFonts w:hint="eastAsia" w:ascii="仿宋" w:hAnsi="仿宋" w:eastAsia="仿宋" w:cs="仿宋"/>
          <w:color w:val="auto"/>
          <w:sz w:val="28"/>
          <w:szCs w:val="28"/>
          <w:lang w:val="en-US" w:eastAsia="zh-CN"/>
        </w:rPr>
        <w:t>22</w:t>
      </w:r>
      <w:r>
        <w:rPr>
          <w:rFonts w:hint="eastAsia" w:ascii="仿宋" w:hAnsi="仿宋" w:eastAsia="仿宋" w:cs="仿宋"/>
          <w:color w:val="auto"/>
          <w:sz w:val="28"/>
          <w:szCs w:val="28"/>
        </w:rPr>
        <w:t>年山西省第</w:t>
      </w:r>
      <w:r>
        <w:rPr>
          <w:rFonts w:hint="eastAsia" w:ascii="仿宋" w:hAnsi="仿宋" w:eastAsia="仿宋" w:cs="仿宋"/>
          <w:color w:val="auto"/>
          <w:sz w:val="28"/>
          <w:szCs w:val="28"/>
          <w:lang w:val="en-US" w:eastAsia="zh-CN"/>
        </w:rPr>
        <w:t>34</w:t>
      </w:r>
      <w:r>
        <w:rPr>
          <w:rFonts w:hint="eastAsia" w:ascii="仿宋" w:hAnsi="仿宋" w:eastAsia="仿宋" w:cs="仿宋"/>
          <w:color w:val="auto"/>
          <w:sz w:val="28"/>
          <w:szCs w:val="28"/>
        </w:rPr>
        <w:t>次铸造会</w:t>
      </w:r>
      <w:r>
        <w:rPr>
          <w:rFonts w:hint="eastAsia" w:ascii="仿宋" w:hAnsi="仿宋" w:eastAsia="仿宋" w:cs="仿宋"/>
          <w:color w:val="auto"/>
          <w:sz w:val="28"/>
          <w:szCs w:val="28"/>
          <w:lang w:val="en-US" w:eastAsia="zh-CN"/>
        </w:rPr>
        <w:t>议</w:t>
      </w:r>
      <w:r>
        <w:rPr>
          <w:rFonts w:hint="eastAsia" w:ascii="仿宋" w:hAnsi="仿宋" w:eastAsia="仿宋" w:cs="仿宋"/>
          <w:color w:val="auto"/>
          <w:sz w:val="28"/>
          <w:szCs w:val="28"/>
        </w:rPr>
        <w:t>期间举行</w:t>
      </w:r>
      <w:r>
        <w:rPr>
          <w:rFonts w:hint="eastAsia" w:ascii="仿宋" w:hAnsi="仿宋" w:eastAsia="仿宋" w:cs="仿宋"/>
          <w:color w:val="auto"/>
          <w:sz w:val="28"/>
          <w:szCs w:val="28"/>
          <w:lang w:eastAsia="zh-CN"/>
        </w:rPr>
        <w:t>表彰、颁奖授牌</w:t>
      </w:r>
      <w:r>
        <w:rPr>
          <w:rFonts w:hint="eastAsia" w:ascii="仿宋" w:hAnsi="仿宋" w:eastAsia="仿宋" w:cs="仿宋"/>
          <w:color w:val="auto"/>
          <w:sz w:val="28"/>
          <w:szCs w:val="28"/>
        </w:rPr>
        <w:t>仪式。</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color w:val="auto"/>
          <w:sz w:val="28"/>
          <w:szCs w:val="28"/>
        </w:rPr>
      </w:pPr>
      <w:r>
        <w:rPr>
          <w:rFonts w:hint="eastAsia" w:ascii="仿宋" w:hAnsi="仿宋" w:eastAsia="仿宋" w:cs="仿宋"/>
          <w:b/>
          <w:bCs/>
          <w:color w:val="auto"/>
          <w:sz w:val="28"/>
          <w:szCs w:val="28"/>
          <w:lang w:eastAsia="zh-CN"/>
        </w:rPr>
        <w:t>九</w:t>
      </w:r>
      <w:r>
        <w:rPr>
          <w:rFonts w:hint="eastAsia" w:ascii="仿宋" w:hAnsi="仿宋" w:eastAsia="仿宋" w:cs="仿宋"/>
          <w:b/>
          <w:bCs/>
          <w:color w:val="auto"/>
          <w:sz w:val="28"/>
          <w:szCs w:val="28"/>
        </w:rPr>
        <w:t>、称号管理</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荣誉称号有效期为</w:t>
      </w:r>
      <w:r>
        <w:rPr>
          <w:rFonts w:hint="eastAsia" w:ascii="仿宋" w:hAnsi="仿宋" w:eastAsia="仿宋" w:cs="仿宋"/>
          <w:color w:val="auto"/>
          <w:sz w:val="28"/>
          <w:szCs w:val="28"/>
          <w:lang w:eastAsia="zh-CN"/>
        </w:rPr>
        <w:t>四</w:t>
      </w:r>
      <w:r>
        <w:rPr>
          <w:rFonts w:hint="eastAsia" w:ascii="仿宋" w:hAnsi="仿宋" w:eastAsia="仿宋" w:cs="仿宋"/>
          <w:color w:val="auto"/>
          <w:sz w:val="28"/>
          <w:szCs w:val="28"/>
        </w:rPr>
        <w:t>年。</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获得荣誉称号的单位，应每年向省铸造协（学）会提交该企业</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rPr>
      </w:pPr>
      <w:r>
        <w:rPr>
          <w:rFonts w:hint="eastAsia" w:ascii="仿宋" w:hAnsi="仿宋" w:eastAsia="仿宋" w:cs="仿宋"/>
          <w:sz w:val="28"/>
          <w:szCs w:val="28"/>
        </w:rPr>
        <w:t>发展状况报告。</w:t>
      </w:r>
    </w:p>
    <w:p>
      <w:pPr>
        <w:keepNext w:val="0"/>
        <w:keepLines w:val="0"/>
        <w:pageBreakBefore w:val="0"/>
        <w:widowControl/>
        <w:numPr>
          <w:ilvl w:val="0"/>
          <w:numId w:val="1"/>
        </w:numPr>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有效期满后，需重新进行申报。</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rPr>
      </w:pPr>
      <w:r>
        <w:rPr>
          <w:rFonts w:hint="eastAsia" w:ascii="仿宋" w:hAnsi="仿宋" w:eastAsia="仿宋" w:cs="仿宋"/>
          <w:b/>
          <w:bCs/>
          <w:sz w:val="28"/>
          <w:szCs w:val="28"/>
          <w:lang w:eastAsia="zh-CN"/>
        </w:rPr>
        <w:t>十、</w:t>
      </w:r>
      <w:r>
        <w:rPr>
          <w:rFonts w:hint="eastAsia" w:ascii="仿宋" w:hAnsi="仿宋" w:eastAsia="仿宋" w:cs="仿宋"/>
          <w:b/>
          <w:bCs/>
          <w:sz w:val="28"/>
          <w:szCs w:val="28"/>
        </w:rPr>
        <w:t>有关说明</w:t>
      </w:r>
    </w:p>
    <w:p>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本次评选不收取评审费用，对有异议的企业需现场复核，相关</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rPr>
      </w:pPr>
      <w:r>
        <w:rPr>
          <w:rFonts w:hint="eastAsia" w:ascii="仿宋" w:hAnsi="仿宋" w:eastAsia="仿宋" w:cs="仿宋"/>
          <w:sz w:val="28"/>
          <w:szCs w:val="28"/>
        </w:rPr>
        <w:t>差旅费用由被复核企业负担；</w:t>
      </w:r>
    </w:p>
    <w:p>
      <w:pPr>
        <w:keepNext w:val="0"/>
        <w:keepLines w:val="0"/>
        <w:pageBreakBefore w:val="0"/>
        <w:widowControl/>
        <w:numPr>
          <w:ilvl w:val="0"/>
          <w:numId w:val="2"/>
        </w:numPr>
        <w:kinsoku/>
        <w:wordWrap/>
        <w:overflowPunct/>
        <w:topLinePunct w:val="0"/>
        <w:autoSpaceDE/>
        <w:autoSpaceDN/>
        <w:bidi w:val="0"/>
        <w:adjustRightInd/>
        <w:snapToGrid/>
        <w:spacing w:line="48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免费发放证书，如需奖杯（或牌匾），制作工本费由企业负担。</w:t>
      </w:r>
    </w:p>
    <w:p>
      <w:pPr>
        <w:keepNext w:val="0"/>
        <w:keepLines w:val="0"/>
        <w:pageBreakBefore w:val="0"/>
        <w:widowControl/>
        <w:numPr>
          <w:ilvl w:val="0"/>
          <w:numId w:val="3"/>
        </w:numPr>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联系方式</w:t>
      </w:r>
    </w:p>
    <w:p>
      <w:pPr>
        <w:keepNext w:val="0"/>
        <w:keepLines w:val="0"/>
        <w:pageBreakBefore w:val="0"/>
        <w:widowControl/>
        <w:kinsoku/>
        <w:wordWrap/>
        <w:overflowPunct/>
        <w:topLinePunct w:val="0"/>
        <w:autoSpaceDE/>
        <w:autoSpaceDN/>
        <w:bidi w:val="0"/>
        <w:adjustRightInd/>
        <w:snapToGrid/>
        <w:spacing w:beforeLines="0" w:afterLines="0" w:line="440" w:lineRule="exact"/>
        <w:ind w:firstLine="560" w:firstLineChars="200"/>
        <w:jc w:val="left"/>
        <w:textAlignment w:val="auto"/>
        <w:outlineLvl w:val="9"/>
        <w:rPr>
          <w:rFonts w:hint="eastAsia" w:ascii="仿宋" w:hAnsi="仿宋" w:eastAsia="仿宋" w:cs="仿宋"/>
          <w:sz w:val="28"/>
          <w:lang w:val="en-US" w:eastAsia="zh-CN"/>
        </w:rPr>
      </w:pPr>
      <w:r>
        <w:rPr>
          <w:rFonts w:hint="eastAsia" w:ascii="仿宋" w:hAnsi="仿宋" w:eastAsia="仿宋" w:cs="仿宋"/>
          <w:sz w:val="28"/>
        </w:rPr>
        <w:t>地址</w:t>
      </w:r>
      <w:r>
        <w:rPr>
          <w:rFonts w:hint="eastAsia" w:ascii="仿宋" w:hAnsi="仿宋" w:eastAsia="仿宋" w:cs="仿宋"/>
          <w:sz w:val="28"/>
          <w:lang w:eastAsia="zh-CN"/>
        </w:rPr>
        <w:t>：</w:t>
      </w:r>
      <w:r>
        <w:rPr>
          <w:rFonts w:hint="eastAsia" w:ascii="仿宋" w:hAnsi="仿宋" w:eastAsia="仿宋" w:cs="仿宋"/>
          <w:sz w:val="28"/>
        </w:rPr>
        <w:t>山西省太原市小店区黄陵路56号1号楼</w:t>
      </w:r>
      <w:r>
        <w:rPr>
          <w:rFonts w:hint="eastAsia" w:ascii="仿宋" w:hAnsi="仿宋" w:eastAsia="仿宋" w:cs="仿宋"/>
          <w:sz w:val="28"/>
          <w:lang w:val="en-US" w:eastAsia="zh-CN"/>
        </w:rPr>
        <w:t xml:space="preserve">  </w:t>
      </w:r>
    </w:p>
    <w:p>
      <w:pPr>
        <w:keepNext w:val="0"/>
        <w:keepLines w:val="0"/>
        <w:pageBreakBefore w:val="0"/>
        <w:widowControl/>
        <w:kinsoku/>
        <w:wordWrap/>
        <w:overflowPunct/>
        <w:topLinePunct w:val="0"/>
        <w:autoSpaceDE/>
        <w:autoSpaceDN/>
        <w:bidi w:val="0"/>
        <w:adjustRightInd/>
        <w:snapToGrid/>
        <w:spacing w:beforeLines="0" w:afterLines="0" w:line="440" w:lineRule="exact"/>
        <w:ind w:firstLine="560" w:firstLineChars="200"/>
        <w:jc w:val="left"/>
        <w:textAlignment w:val="auto"/>
        <w:outlineLvl w:val="9"/>
        <w:rPr>
          <w:rFonts w:hint="eastAsia" w:ascii="仿宋" w:hAnsi="仿宋" w:eastAsia="仿宋" w:cs="仿宋"/>
          <w:sz w:val="28"/>
          <w:lang w:val="en-US" w:eastAsia="zh-CN"/>
        </w:rPr>
      </w:pPr>
      <w:r>
        <w:rPr>
          <w:rFonts w:hint="eastAsia" w:ascii="仿宋" w:hAnsi="仿宋" w:eastAsia="仿宋" w:cs="仿宋"/>
          <w:sz w:val="28"/>
        </w:rPr>
        <w:t>电话/传真:</w:t>
      </w:r>
      <w:r>
        <w:rPr>
          <w:rFonts w:hint="eastAsia" w:ascii="仿宋" w:hAnsi="仿宋" w:eastAsia="仿宋" w:cs="仿宋"/>
          <w:sz w:val="28"/>
          <w:lang w:val="en-US" w:eastAsia="zh-CN"/>
        </w:rPr>
        <w:t xml:space="preserve">  </w:t>
      </w:r>
      <w:r>
        <w:rPr>
          <w:rFonts w:hint="eastAsia" w:ascii="仿宋" w:hAnsi="仿宋" w:eastAsia="仿宋" w:cs="仿宋"/>
          <w:sz w:val="28"/>
        </w:rPr>
        <w:t xml:space="preserve">0351-3982874 </w:t>
      </w:r>
      <w:r>
        <w:rPr>
          <w:rFonts w:hint="eastAsia" w:ascii="仿宋" w:hAnsi="仿宋" w:eastAsia="仿宋" w:cs="仿宋"/>
          <w:sz w:val="28"/>
          <w:lang w:val="en-US" w:eastAsia="zh-CN"/>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HYPERLINK "mailto:邮箱∶sxzzxh12@163.com" </w:instrText>
      </w:r>
      <w:r>
        <w:rPr>
          <w:rFonts w:hint="eastAsia" w:ascii="仿宋" w:hAnsi="仿宋" w:eastAsia="仿宋" w:cs="仿宋"/>
          <w:sz w:val="28"/>
        </w:rPr>
        <w:fldChar w:fldCharType="separate"/>
      </w:r>
      <w:r>
        <w:rPr>
          <w:rStyle w:val="5"/>
          <w:rFonts w:hint="eastAsia" w:ascii="仿宋" w:hAnsi="仿宋" w:eastAsia="仿宋" w:cs="仿宋"/>
          <w:sz w:val="28"/>
        </w:rPr>
        <w:t>邮箱∶sxzzxh12@163.com</w:t>
      </w:r>
      <w:r>
        <w:rPr>
          <w:rFonts w:hint="eastAsia" w:ascii="仿宋" w:hAnsi="仿宋" w:eastAsia="仿宋" w:cs="仿宋"/>
          <w:sz w:val="28"/>
        </w:rPr>
        <w:fldChar w:fldCharType="end"/>
      </w:r>
    </w:p>
    <w:p>
      <w:pPr>
        <w:keepNext w:val="0"/>
        <w:keepLines w:val="0"/>
        <w:pageBreakBefore w:val="0"/>
        <w:widowControl/>
        <w:kinsoku/>
        <w:wordWrap/>
        <w:overflowPunct/>
        <w:topLinePunct w:val="0"/>
        <w:autoSpaceDE/>
        <w:autoSpaceDN/>
        <w:bidi w:val="0"/>
        <w:adjustRightInd/>
        <w:snapToGrid/>
        <w:spacing w:beforeLines="0" w:afterLines="0" w:line="440" w:lineRule="exact"/>
        <w:ind w:firstLine="560" w:firstLineChars="200"/>
        <w:jc w:val="left"/>
        <w:textAlignment w:val="auto"/>
        <w:outlineLvl w:val="9"/>
        <w:rPr>
          <w:rFonts w:hint="eastAsia" w:ascii="仿宋" w:hAnsi="仿宋" w:eastAsia="仿宋" w:cs="仿宋"/>
          <w:sz w:val="28"/>
          <w:lang w:val="en-US" w:eastAsia="zh-CN"/>
        </w:rPr>
      </w:pPr>
      <w:r>
        <w:rPr>
          <w:rFonts w:hint="eastAsia" w:ascii="仿宋" w:hAnsi="仿宋" w:eastAsia="仿宋" w:cs="仿宋"/>
          <w:sz w:val="28"/>
        </w:rPr>
        <w:t>联系人:</w:t>
      </w:r>
      <w:r>
        <w:rPr>
          <w:rFonts w:hint="eastAsia" w:ascii="仿宋" w:hAnsi="仿宋" w:eastAsia="仿宋" w:cs="仿宋"/>
          <w:sz w:val="28"/>
          <w:lang w:val="en-US" w:eastAsia="zh-CN"/>
        </w:rPr>
        <w:t xml:space="preserve"> </w:t>
      </w:r>
      <w:r>
        <w:rPr>
          <w:rFonts w:hint="eastAsia" w:ascii="仿宋" w:hAnsi="仿宋" w:eastAsia="仿宋" w:cs="仿宋"/>
          <w:sz w:val="28"/>
        </w:rPr>
        <w:t>郝鹏飞</w:t>
      </w:r>
      <w:r>
        <w:rPr>
          <w:rFonts w:hint="eastAsia" w:ascii="仿宋" w:hAnsi="仿宋" w:eastAsia="仿宋" w:cs="仿宋"/>
          <w:sz w:val="28"/>
          <w:lang w:val="en-US" w:eastAsia="zh-CN"/>
        </w:rPr>
        <w:t xml:space="preserve"> 18649311901；王广业  13703594116；</w:t>
      </w:r>
    </w:p>
    <w:p>
      <w:pPr>
        <w:keepNext w:val="0"/>
        <w:keepLines w:val="0"/>
        <w:pageBreakBefore w:val="0"/>
        <w:widowControl/>
        <w:kinsoku/>
        <w:wordWrap/>
        <w:overflowPunct/>
        <w:topLinePunct w:val="0"/>
        <w:autoSpaceDE/>
        <w:autoSpaceDN/>
        <w:bidi w:val="0"/>
        <w:adjustRightInd/>
        <w:snapToGrid/>
        <w:spacing w:beforeLines="0" w:afterLines="0" w:line="440" w:lineRule="exact"/>
        <w:ind w:firstLine="1680" w:firstLineChars="600"/>
        <w:jc w:val="left"/>
        <w:textAlignment w:val="auto"/>
        <w:outlineLvl w:val="9"/>
        <w:rPr>
          <w:rFonts w:hint="eastAsia" w:ascii="仿宋" w:hAnsi="仿宋" w:eastAsia="仿宋" w:cs="仿宋"/>
          <w:sz w:val="28"/>
          <w:lang w:val="en-US" w:eastAsia="zh-CN"/>
        </w:rPr>
      </w:pPr>
      <w:r>
        <w:rPr>
          <w:rFonts w:hint="eastAsia" w:ascii="仿宋" w:hAnsi="仿宋" w:eastAsia="仿宋" w:cs="仿宋"/>
          <w:sz w:val="28"/>
          <w:lang w:val="en-US" w:eastAsia="zh-CN"/>
        </w:rPr>
        <w:t>王彩红 13643605110; 梅  好  13513687645</w:t>
      </w:r>
    </w:p>
    <w:p>
      <w:pPr>
        <w:keepNext w:val="0"/>
        <w:keepLines w:val="0"/>
        <w:pageBreakBefore w:val="0"/>
        <w:widowControl/>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lang w:val="en-US" w:eastAsia="zh-CN"/>
        </w:rPr>
      </w:pPr>
      <w:r>
        <w:rPr>
          <w:rFonts w:hint="eastAsia" w:ascii="仿宋" w:hAnsi="仿宋" w:eastAsia="仿宋" w:cs="仿宋"/>
          <w:sz w:val="28"/>
        </w:rPr>
        <w:t>通讯地址:山西省太原市小店区黄陵路56号1号楼</w:t>
      </w:r>
      <w:r>
        <w:rPr>
          <w:rFonts w:hint="eastAsia" w:ascii="仿宋" w:hAnsi="仿宋" w:eastAsia="仿宋" w:cs="仿宋"/>
          <w:sz w:val="28"/>
          <w:lang w:val="en-US" w:eastAsia="zh-CN"/>
        </w:rPr>
        <w:t>3005</w:t>
      </w:r>
      <w:r>
        <w:rPr>
          <w:rFonts w:hint="eastAsia" w:ascii="仿宋" w:hAnsi="仿宋" w:eastAsia="仿宋" w:cs="仿宋"/>
          <w:sz w:val="28"/>
        </w:rPr>
        <w:t>室</w:t>
      </w:r>
      <w:r>
        <w:rPr>
          <w:rFonts w:hint="eastAsia" w:ascii="仿宋" w:hAnsi="仿宋" w:eastAsia="仿宋" w:cs="仿宋"/>
          <w:sz w:val="28"/>
          <w:lang w:val="en-US" w:eastAsia="zh-CN"/>
        </w:rPr>
        <w:t xml:space="preserve"> </w:t>
      </w:r>
      <w:r>
        <w:rPr>
          <w:rFonts w:hint="eastAsia" w:ascii="仿宋" w:hAnsi="仿宋" w:eastAsia="仿宋" w:cs="仿宋"/>
          <w:sz w:val="28"/>
          <w:szCs w:val="28"/>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firstLine="6440" w:firstLineChars="2300"/>
        <w:textAlignment w:val="auto"/>
        <w:outlineLvl w:val="9"/>
        <w:rPr>
          <w:rFonts w:hint="eastAsia" w:ascii="仿宋" w:hAnsi="仿宋" w:eastAsia="仿宋" w:cs="仿宋"/>
          <w:sz w:val="28"/>
          <w:szCs w:val="28"/>
          <w:lang w:val="en-US" w:eastAsia="zh-CN"/>
        </w:rPr>
      </w:pPr>
    </w:p>
    <w:p>
      <w:pPr>
        <w:keepNext w:val="0"/>
        <w:keepLines w:val="0"/>
        <w:pageBreakBefore w:val="0"/>
        <w:widowControl/>
        <w:kinsoku/>
        <w:wordWrap/>
        <w:overflowPunct/>
        <w:topLinePunct w:val="0"/>
        <w:autoSpaceDE/>
        <w:autoSpaceDN/>
        <w:bidi w:val="0"/>
        <w:adjustRightInd/>
        <w:snapToGrid/>
        <w:spacing w:line="480" w:lineRule="exact"/>
        <w:ind w:firstLine="6440" w:firstLineChars="2300"/>
        <w:textAlignment w:val="auto"/>
        <w:outlineLvl w:val="9"/>
        <w:rPr>
          <w:rFonts w:hint="default" w:ascii="仿宋" w:hAnsi="仿宋" w:eastAsia="仿宋" w:cs="仿宋"/>
          <w:sz w:val="28"/>
          <w:szCs w:val="28"/>
          <w:lang w:val="en-US" w:eastAsia="zh-CN"/>
        </w:rPr>
      </w:pPr>
      <w:r>
        <w:rPr>
          <w:rFonts w:hint="eastAsia" w:ascii="仿宋" w:hAnsi="仿宋" w:eastAsia="仿宋" w:cs="仿宋"/>
          <w:sz w:val="28"/>
          <w:szCs w:val="28"/>
        </w:rPr>
        <w:t>20</w:t>
      </w:r>
      <w:r>
        <w:rPr>
          <w:rFonts w:hint="eastAsia" w:ascii="仿宋" w:hAnsi="仿宋" w:eastAsia="仿宋" w:cs="仿宋"/>
          <w:sz w:val="28"/>
          <w:szCs w:val="28"/>
          <w:lang w:val="en-US" w:eastAsia="zh-CN"/>
        </w:rPr>
        <w:t>22</w:t>
      </w:r>
      <w:r>
        <w:rPr>
          <w:rFonts w:hint="eastAsia" w:ascii="仿宋" w:hAnsi="仿宋" w:eastAsia="仿宋" w:cs="仿宋"/>
          <w:sz w:val="28"/>
          <w:szCs w:val="28"/>
        </w:rPr>
        <w:t>.</w:t>
      </w:r>
      <w:r>
        <w:rPr>
          <w:rFonts w:hint="eastAsia" w:ascii="仿宋" w:hAnsi="仿宋" w:eastAsia="仿宋" w:cs="仿宋"/>
          <w:sz w:val="28"/>
          <w:szCs w:val="28"/>
          <w:lang w:val="en-US" w:eastAsia="zh-CN"/>
        </w:rPr>
        <w:t>3.10</w:t>
      </w:r>
      <w:bookmarkStart w:id="0" w:name="_GoBack"/>
      <w:bookmarkEnd w:id="0"/>
    </w:p>
    <w:sectPr>
      <w:footerReference r:id="rId3" w:type="default"/>
      <w:pgSz w:w="12240" w:h="15840"/>
      <w:pgMar w:top="1440" w:right="1800" w:bottom="1440" w:left="1800" w:header="720" w:footer="720" w:gutter="0"/>
      <w:lnNumType w:countBy="0" w:distance="36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E2A0E71"/>
    <w:multiLevelType w:val="singleLevel"/>
    <w:tmpl w:val="9E2A0E71"/>
    <w:lvl w:ilvl="0" w:tentative="0">
      <w:start w:val="11"/>
      <w:numFmt w:val="chineseCounting"/>
      <w:suff w:val="nothing"/>
      <w:lvlText w:val="%1、"/>
      <w:lvlJc w:val="left"/>
      <w:rPr>
        <w:rFonts w:hint="eastAsia"/>
      </w:rPr>
    </w:lvl>
  </w:abstractNum>
  <w:abstractNum w:abstractNumId="1">
    <w:nsid w:val="FF88A13D"/>
    <w:multiLevelType w:val="singleLevel"/>
    <w:tmpl w:val="FF88A13D"/>
    <w:lvl w:ilvl="0" w:tentative="0">
      <w:start w:val="2"/>
      <w:numFmt w:val="decimal"/>
      <w:suff w:val="nothing"/>
      <w:lvlText w:val="%1、"/>
      <w:lvlJc w:val="left"/>
    </w:lvl>
  </w:abstractNum>
  <w:abstractNum w:abstractNumId="2">
    <w:nsid w:val="0919D97C"/>
    <w:multiLevelType w:val="singleLevel"/>
    <w:tmpl w:val="0919D97C"/>
    <w:lvl w:ilvl="0" w:tentative="0">
      <w:start w:val="3"/>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785DB9"/>
    <w:rsid w:val="02F13A44"/>
    <w:rsid w:val="03C15A17"/>
    <w:rsid w:val="08E65782"/>
    <w:rsid w:val="094A5504"/>
    <w:rsid w:val="0FD172B0"/>
    <w:rsid w:val="11A23556"/>
    <w:rsid w:val="18E80433"/>
    <w:rsid w:val="1CA14B85"/>
    <w:rsid w:val="1CD641E2"/>
    <w:rsid w:val="1CD66778"/>
    <w:rsid w:val="1EF7116E"/>
    <w:rsid w:val="21771670"/>
    <w:rsid w:val="227575D6"/>
    <w:rsid w:val="23DB25DE"/>
    <w:rsid w:val="24466927"/>
    <w:rsid w:val="25C125FE"/>
    <w:rsid w:val="27872DE6"/>
    <w:rsid w:val="28C2586B"/>
    <w:rsid w:val="292D40C6"/>
    <w:rsid w:val="2B896290"/>
    <w:rsid w:val="2E265A35"/>
    <w:rsid w:val="2FA66F4E"/>
    <w:rsid w:val="2FFA7C57"/>
    <w:rsid w:val="336F1DC8"/>
    <w:rsid w:val="355448F7"/>
    <w:rsid w:val="3A7C6668"/>
    <w:rsid w:val="3C53537B"/>
    <w:rsid w:val="3D0A1896"/>
    <w:rsid w:val="3D72024A"/>
    <w:rsid w:val="416C6741"/>
    <w:rsid w:val="475B196F"/>
    <w:rsid w:val="47D44EE3"/>
    <w:rsid w:val="48C974C6"/>
    <w:rsid w:val="4A785DB9"/>
    <w:rsid w:val="4C0E105F"/>
    <w:rsid w:val="4EBB6EB5"/>
    <w:rsid w:val="50082B42"/>
    <w:rsid w:val="51101391"/>
    <w:rsid w:val="57683A7E"/>
    <w:rsid w:val="600A3AA5"/>
    <w:rsid w:val="645C5585"/>
    <w:rsid w:val="66DF2F7C"/>
    <w:rsid w:val="66F66887"/>
    <w:rsid w:val="67651F33"/>
    <w:rsid w:val="68116E13"/>
    <w:rsid w:val="6D535020"/>
    <w:rsid w:val="73745958"/>
    <w:rsid w:val="74EB6752"/>
    <w:rsid w:val="761034C4"/>
    <w:rsid w:val="7BF6582E"/>
    <w:rsid w:val="7C87690D"/>
    <w:rsid w:val="7D0C5613"/>
    <w:rsid w:val="7FA65C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asciiTheme="minorHAnsi" w:hAnsiTheme="minorHAnsi" w:cstheme="minorBidi"/>
      <w:kern w:val="2"/>
      <w:sz w:val="21"/>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8</TotalTime>
  <ScaleCrop>false</ScaleCrop>
  <LinksUpToDate>false</LinksUpToDate>
  <CharactersWithSpaces>0</CharactersWithSpaces>
  <Application>WPS Office_11.1.0.7989_F1E327BC-269C-435d-A152-05C5408002CA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2018-06-29T02:44:00Z</dcterms:created>
  <dc:creator>Administrator</dc:creator>
  <cp:lastModifiedBy>wgy</cp:lastModifiedBy>
  <dcterms:modified xsi:type="dcterms:W3CDTF">2022-03-09T01:06:15Z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2052-11.1.0.7989</vt:lpwstr>
  </property>
  <property fmtid="{D5CDD505-2E9C-101B-9397-08002B2CF9AE}" pid="3" name="ICV">
    <vt:lpwstr>1A3215730120414ABD42A20D92EE2A1F</vt:lpwstr>
  </property>
</Properties>
</file>