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雅黑" w:hAnsi="微软雅黑" w:eastAsia="微软雅黑" w:cs="微软雅黑"/>
          <w:b/>
          <w:bCs/>
          <w:color w:val="92D050"/>
        </w:rPr>
      </w:pPr>
      <w:r>
        <w:rPr>
          <w:rFonts w:hint="eastAsia" w:ascii="微软雅黑" w:hAnsi="微软雅黑" w:eastAsia="微软雅黑" w:cs="微软雅黑"/>
          <w:b/>
          <w:bCs/>
          <w:color w:val="92D050"/>
        </w:rPr>
        <w:t>环保行业高效自动化分析</w:t>
      </w:r>
    </w:p>
    <w:p>
      <w:pPr>
        <w:pStyle w:val="16"/>
        <w:numPr>
          <w:ilvl w:val="0"/>
          <w:numId w:val="1"/>
        </w:numPr>
        <w:ind w:left="-200" w:leftChars="0"/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ascii="微软雅黑" w:hAnsi="微软雅黑" w:eastAsia="微软雅黑" w:cs="微软雅黑"/>
          <w:b w:val="0"/>
          <w:bCs w:val="0"/>
          <w:sz w:val="28"/>
          <w:szCs w:val="28"/>
        </w:rPr>
        <w:t>方案简介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0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针对环保行业客户</w:t>
      </w:r>
      <w:r>
        <w:rPr>
          <w:rFonts w:hint="eastAsia" w:ascii="微软雅黑" w:hAnsi="微软雅黑" w:eastAsia="微软雅黑" w:cs="微软雅黑"/>
        </w:rPr>
        <w:t>两大</w:t>
      </w:r>
      <w:bookmarkStart w:id="0" w:name="_GoBack"/>
      <w:bookmarkEnd w:id="0"/>
      <w:r>
        <w:rPr>
          <w:rFonts w:ascii="微软雅黑" w:hAnsi="微软雅黑" w:eastAsia="微软雅黑" w:cs="微软雅黑"/>
        </w:rPr>
        <w:t>痛点开发</w:t>
      </w:r>
      <w:r>
        <w:rPr>
          <w:rFonts w:hint="eastAsia" w:ascii="微软雅黑" w:hAnsi="微软雅黑" w:eastAsia="微软雅黑" w:cs="微软雅黑"/>
        </w:rPr>
        <w:t>。将微量自动化</w:t>
      </w:r>
      <w:r>
        <w:rPr>
          <w:rFonts w:ascii="微软雅黑" w:hAnsi="微软雅黑" w:eastAsia="微软雅黑" w:cs="微软雅黑"/>
        </w:rPr>
        <w:t>分析技术用于COD、总磷、总氮等参数的测试，</w:t>
      </w:r>
      <w:r>
        <w:rPr>
          <w:rFonts w:hint="eastAsia" w:ascii="微软雅黑" w:hAnsi="微软雅黑" w:eastAsia="微软雅黑" w:cs="微软雅黑"/>
        </w:rPr>
        <w:t>可规避管壁划伤带来的测试误差，搭配</w:t>
      </w:r>
      <w:r>
        <w:rPr>
          <w:rFonts w:ascii="微软雅黑" w:hAnsi="微软雅黑" w:eastAsia="微软雅黑" w:cs="微软雅黑"/>
        </w:rPr>
        <w:t>精密蠕动计量技术使</w:t>
      </w:r>
      <w:r>
        <w:rPr>
          <w:rFonts w:hint="eastAsia" w:ascii="微软雅黑" w:hAnsi="微软雅黑" w:eastAsia="微软雅黑" w:cs="微软雅黑"/>
        </w:rPr>
        <w:t>高粘度腐蚀性试剂的自动移取成为可能。方案可广泛应用于环保检测相关领域。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00" w:firstLineChars="200"/>
        <w:textAlignment w:val="auto"/>
        <w:rPr>
          <w:rFonts w:hint="eastAsia" w:ascii="微软雅黑" w:hAnsi="微软雅黑" w:eastAsia="微软雅黑" w:cs="微软雅黑"/>
        </w:rPr>
      </w:pPr>
    </w:p>
    <w:p>
      <w:pPr>
        <w:pStyle w:val="16"/>
        <w:numPr>
          <w:ilvl w:val="0"/>
          <w:numId w:val="1"/>
        </w:numPr>
        <w:ind w:left="-200" w:leftChars="0"/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ascii="微软雅黑" w:hAnsi="微软雅黑" w:eastAsia="微软雅黑" w:cs="微软雅黑"/>
          <w:b w:val="0"/>
          <w:bCs w:val="0"/>
          <w:sz w:val="28"/>
          <w:szCs w:val="28"/>
        </w:rPr>
        <w:t>方案图片</w:t>
      </w:r>
    </w:p>
    <w:p>
      <w:pPr>
        <w:pStyle w:val="16"/>
        <w:numPr>
          <w:ilvl w:val="0"/>
          <w:numId w:val="0"/>
        </w:numPr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</w:p>
    <w:p>
      <w:pPr>
        <w:pStyle w:val="16"/>
        <w:numPr>
          <w:ilvl w:val="0"/>
          <w:numId w:val="1"/>
        </w:numPr>
        <w:ind w:left="-200" w:leftChars="0"/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ascii="微软雅黑" w:hAnsi="微软雅黑" w:eastAsia="微软雅黑" w:cs="微软雅黑"/>
          <w:b w:val="0"/>
          <w:bCs w:val="0"/>
          <w:sz w:val="28"/>
          <w:szCs w:val="28"/>
        </w:rPr>
        <w:t>方案特点</w:t>
      </w:r>
    </w:p>
    <w:p>
      <w:pPr>
        <w:pStyle w:val="16"/>
        <w:numPr>
          <w:ilvl w:val="1"/>
          <w:numId w:val="2"/>
        </w:numPr>
      </w:pPr>
      <w:r>
        <w:rPr>
          <w:rFonts w:ascii="微软雅黑" w:hAnsi="微软雅黑" w:eastAsia="微软雅黑" w:cs="微软雅黑"/>
        </w:rPr>
        <w:t>TA-98和TA-60自动分析仪，一键完成进样、清洗、检测等操作</w:t>
      </w:r>
    </w:p>
    <w:p>
      <w:pPr>
        <w:pStyle w:val="16"/>
        <w:numPr>
          <w:ilvl w:val="1"/>
          <w:numId w:val="2"/>
        </w:numPr>
      </w:pPr>
      <w:r>
        <w:rPr>
          <w:rFonts w:ascii="微软雅黑" w:hAnsi="微软雅黑" w:eastAsia="微软雅黑" w:cs="微软雅黑"/>
        </w:rPr>
        <w:t>自动进样技术</w:t>
      </w:r>
      <w:r>
        <w:rPr>
          <w:rFonts w:hint="eastAsia" w:ascii="微软雅黑" w:hAnsi="微软雅黑" w:eastAsia="微软雅黑" w:cs="微软雅黑"/>
        </w:rPr>
        <w:t>规避管壁划伤带来的测试误差</w:t>
      </w:r>
      <w:r>
        <w:rPr>
          <w:rFonts w:ascii="微软雅黑" w:hAnsi="微软雅黑" w:eastAsia="微软雅黑" w:cs="微软雅黑"/>
        </w:rPr>
        <w:t>，分析测试更准确</w:t>
      </w:r>
    </w:p>
    <w:p>
      <w:pPr>
        <w:pStyle w:val="16"/>
        <w:numPr>
          <w:ilvl w:val="1"/>
          <w:numId w:val="2"/>
        </w:numPr>
      </w:pPr>
      <w:r>
        <w:rPr>
          <w:rFonts w:ascii="微软雅黑" w:hAnsi="微软雅黑" w:eastAsia="微软雅黑" w:cs="微软雅黑"/>
        </w:rPr>
        <w:t>消解管不参与比色，</w:t>
      </w:r>
      <w:r>
        <w:rPr>
          <w:rFonts w:hint="eastAsia" w:ascii="微软雅黑" w:hAnsi="微软雅黑" w:eastAsia="微软雅黑" w:cs="微软雅黑"/>
        </w:rPr>
        <w:t>可</w:t>
      </w:r>
      <w:r>
        <w:rPr>
          <w:rFonts w:ascii="微软雅黑" w:hAnsi="微软雅黑" w:eastAsia="微软雅黑" w:cs="微软雅黑"/>
        </w:rPr>
        <w:t>重复利用，降低</w:t>
      </w:r>
      <w:r>
        <w:rPr>
          <w:rFonts w:hint="eastAsia" w:ascii="微软雅黑" w:hAnsi="微软雅黑" w:eastAsia="微软雅黑" w:cs="微软雅黑"/>
        </w:rPr>
        <w:t>试剂</w:t>
      </w:r>
      <w:r>
        <w:rPr>
          <w:rFonts w:ascii="微软雅黑" w:hAnsi="微软雅黑" w:eastAsia="微软雅黑" w:cs="微软雅黑"/>
        </w:rPr>
        <w:t>成本减少固废污染</w:t>
      </w:r>
    </w:p>
    <w:p>
      <w:pPr>
        <w:pStyle w:val="16"/>
        <w:numPr>
          <w:ilvl w:val="1"/>
          <w:numId w:val="2"/>
        </w:numPr>
      </w:pPr>
      <w:r>
        <w:rPr>
          <w:rFonts w:ascii="微软雅黑" w:hAnsi="微软雅黑" w:eastAsia="微软雅黑" w:cs="微软雅黑"/>
        </w:rPr>
        <w:t>提供预制管试剂、大瓶装试剂和半成品试剂，选择灵活多样</w:t>
      </w:r>
    </w:p>
    <w:p>
      <w:pPr>
        <w:pStyle w:val="16"/>
        <w:numPr>
          <w:ilvl w:val="1"/>
          <w:numId w:val="2"/>
        </w:numPr>
      </w:pPr>
      <w:r>
        <w:rPr>
          <w:rFonts w:ascii="微软雅黑" w:hAnsi="微软雅黑" w:eastAsia="微软雅黑" w:cs="微软雅黑"/>
        </w:rPr>
        <w:t>专用移液定容装置，一键解决</w:t>
      </w:r>
      <w:r>
        <w:rPr>
          <w:rFonts w:hint="eastAsia" w:ascii="微软雅黑" w:hAnsi="微软雅黑" w:eastAsia="微软雅黑" w:cs="微软雅黑"/>
        </w:rPr>
        <w:t>高粘度腐蚀性试剂移取</w:t>
      </w:r>
      <w:r>
        <w:rPr>
          <w:rFonts w:ascii="微软雅黑" w:hAnsi="微软雅黑" w:eastAsia="微软雅黑" w:cs="微软雅黑"/>
        </w:rPr>
        <w:t>难题</w:t>
      </w:r>
    </w:p>
    <w:p>
      <w:pPr>
        <w:pStyle w:val="16"/>
        <w:numPr>
          <w:ilvl w:val="1"/>
          <w:numId w:val="2"/>
        </w:numPr>
      </w:pPr>
      <w:r>
        <w:rPr>
          <w:rFonts w:ascii="微软雅黑" w:hAnsi="微软雅黑" w:eastAsia="微软雅黑" w:cs="微软雅黑"/>
        </w:rPr>
        <w:t>方案配置灵活，可提供60多种参数的测试方案</w:t>
      </w:r>
    </w:p>
    <w:p>
      <w:pPr>
        <w:pStyle w:val="16"/>
        <w:numPr>
          <w:ilvl w:val="0"/>
          <w:numId w:val="0"/>
        </w:numPr>
        <w:ind w:leftChars="0"/>
      </w:pPr>
    </w:p>
    <w:p>
      <w:pPr>
        <w:pStyle w:val="16"/>
        <w:numPr>
          <w:ilvl w:val="0"/>
          <w:numId w:val="1"/>
        </w:numPr>
        <w:ind w:left="-200" w:leftChars="0"/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ascii="微软雅黑" w:hAnsi="微软雅黑" w:eastAsia="微软雅黑" w:cs="微软雅黑"/>
          <w:b w:val="0"/>
          <w:bCs w:val="0"/>
          <w:sz w:val="28"/>
          <w:szCs w:val="28"/>
        </w:rPr>
        <w:t>相关设备</w:t>
      </w:r>
    </w:p>
    <w:p>
      <w:pPr>
        <w:pStyle w:val="16"/>
        <w:numPr>
          <w:ilvl w:val="1"/>
          <w:numId w:val="2"/>
        </w:numPr>
      </w:pPr>
      <w:r>
        <w:rPr>
          <w:rFonts w:ascii="微软雅黑" w:hAnsi="微软雅黑" w:eastAsia="微软雅黑" w:cs="微软雅黑"/>
        </w:rPr>
        <w:t>TA-98</w:t>
      </w:r>
      <w:r>
        <w:rPr>
          <w:rFonts w:hint="eastAsia" w:ascii="微软雅黑" w:hAnsi="微软雅黑" w:eastAsia="微软雅黑" w:cs="微软雅黑"/>
          <w:lang w:val="en-US" w:eastAsia="zh-CN"/>
        </w:rPr>
        <w:t>紫外可见分光光度计</w:t>
      </w:r>
    </w:p>
    <w:p>
      <w:pPr>
        <w:pStyle w:val="16"/>
        <w:numPr>
          <w:ilvl w:val="1"/>
          <w:numId w:val="2"/>
        </w:numPr>
      </w:pPr>
      <w:r>
        <w:rPr>
          <w:rFonts w:ascii="微软雅黑" w:hAnsi="微软雅黑" w:eastAsia="微软雅黑" w:cs="微软雅黑"/>
        </w:rPr>
        <w:t>TA-60</w:t>
      </w:r>
      <w:r>
        <w:rPr>
          <w:rFonts w:hint="eastAsia" w:ascii="微软雅黑" w:hAnsi="微软雅黑" w:eastAsia="微软雅黑" w:cs="微软雅黑"/>
          <w:lang w:val="en-US" w:eastAsia="zh-CN"/>
        </w:rPr>
        <w:t>微量自动分析仪（环保版）</w:t>
      </w:r>
    </w:p>
    <w:p>
      <w:pPr>
        <w:pStyle w:val="16"/>
        <w:numPr>
          <w:ilvl w:val="1"/>
          <w:numId w:val="2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高粘度移液器</w:t>
      </w:r>
    </w:p>
    <w:p>
      <w:pPr>
        <w:pStyle w:val="16"/>
        <w:numPr>
          <w:ilvl w:val="1"/>
          <w:numId w:val="2"/>
        </w:numPr>
      </w:pPr>
      <w:r>
        <w:rPr>
          <w:rFonts w:ascii="微软雅黑" w:hAnsi="微软雅黑" w:eastAsia="微软雅黑" w:cs="微软雅黑"/>
        </w:rPr>
        <w:t>T系列</w:t>
      </w:r>
      <w:r>
        <w:rPr>
          <w:rFonts w:hint="eastAsia" w:ascii="微软雅黑" w:hAnsi="微软雅黑" w:eastAsia="微软雅黑" w:cs="微软雅黑"/>
          <w:lang w:val="en-US" w:eastAsia="zh-CN"/>
        </w:rPr>
        <w:t>便携式</w:t>
      </w:r>
      <w:r>
        <w:rPr>
          <w:rFonts w:ascii="微软雅黑" w:hAnsi="微软雅黑" w:eastAsia="微软雅黑" w:cs="微软雅黑"/>
        </w:rPr>
        <w:t>环保多参数分析仪</w:t>
      </w:r>
    </w:p>
    <w:p>
      <w:pPr>
        <w:pStyle w:val="16"/>
        <w:numPr>
          <w:ilvl w:val="1"/>
          <w:numId w:val="2"/>
        </w:numPr>
      </w:pPr>
      <w:r>
        <w:rPr>
          <w:rFonts w:ascii="微软雅黑" w:hAnsi="微软雅黑" w:eastAsia="微软雅黑" w:cs="微软雅黑"/>
        </w:rPr>
        <w:t>Z系列</w:t>
      </w:r>
      <w:r>
        <w:rPr>
          <w:rFonts w:hint="eastAsia" w:ascii="微软雅黑" w:hAnsi="微软雅黑" w:eastAsia="微软雅黑" w:cs="微软雅黑"/>
          <w:lang w:val="en-US" w:eastAsia="zh-CN"/>
        </w:rPr>
        <w:t>环保多参数测定仪</w:t>
      </w:r>
    </w:p>
    <w:p>
      <w:pPr>
        <w:pStyle w:val="16"/>
        <w:numPr>
          <w:ilvl w:val="1"/>
          <w:numId w:val="2"/>
        </w:numPr>
      </w:pPr>
      <w:r>
        <w:rPr>
          <w:rFonts w:hint="eastAsia" w:ascii="微软雅黑" w:hAnsi="微软雅黑" w:eastAsia="微软雅黑" w:cs="微软雅黑"/>
          <w:lang w:val="en-US" w:eastAsia="zh-CN"/>
        </w:rPr>
        <w:t>S系列</w:t>
      </w:r>
      <w:r>
        <w:rPr>
          <w:rFonts w:ascii="微软雅黑" w:hAnsi="微软雅黑" w:eastAsia="微软雅黑" w:cs="微软雅黑"/>
        </w:rPr>
        <w:t>消解器</w:t>
      </w:r>
    </w:p>
    <w:p>
      <w:pPr>
        <w:pStyle w:val="16"/>
        <w:numPr>
          <w:ilvl w:val="1"/>
          <w:numId w:val="2"/>
        </w:numPr>
      </w:pPr>
      <w:r>
        <w:rPr>
          <w:rFonts w:ascii="微软雅黑" w:hAnsi="微软雅黑" w:eastAsia="微软雅黑" w:cs="微软雅黑"/>
        </w:rPr>
        <w:t>微量试剂</w:t>
      </w:r>
    </w:p>
    <w:p>
      <w:pPr>
        <w:pStyle w:val="16"/>
        <w:numPr>
          <w:ilvl w:val="1"/>
          <w:numId w:val="2"/>
        </w:numPr>
      </w:pPr>
      <w:r>
        <w:rPr>
          <w:rFonts w:ascii="微软雅黑" w:hAnsi="微软雅黑" w:eastAsia="微软雅黑" w:cs="微软雅黑"/>
        </w:rPr>
        <w:t>常量试剂</w:t>
      </w:r>
    </w:p>
    <w:p>
      <w:pPr>
        <w:pStyle w:val="16"/>
        <w:numPr>
          <w:ilvl w:val="0"/>
          <w:numId w:val="0"/>
        </w:numPr>
        <w:ind w:left="-200" w:leftChars="0"/>
      </w:pPr>
    </w:p>
    <w:p>
      <w:pPr>
        <w:pStyle w:val="16"/>
        <w:numPr>
          <w:ilvl w:val="0"/>
          <w:numId w:val="1"/>
        </w:numPr>
        <w:ind w:left="-200" w:leftChars="0"/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ascii="微软雅黑" w:hAnsi="微软雅黑" w:eastAsia="微软雅黑" w:cs="微软雅黑"/>
          <w:b w:val="0"/>
          <w:bCs w:val="0"/>
          <w:sz w:val="28"/>
          <w:szCs w:val="28"/>
        </w:rPr>
        <w:t>测定项目</w:t>
      </w:r>
    </w:p>
    <w:tbl>
      <w:tblPr>
        <w:tblStyle w:val="12"/>
        <w:tblpPr w:leftFromText="180" w:rightFromText="180" w:vertAnchor="text" w:horzAnchor="page" w:tblpX="984" w:tblpY="294"/>
        <w:tblOverlap w:val="never"/>
        <w:tblW w:w="9748" w:type="dxa"/>
        <w:tblInd w:w="0" w:type="dxa"/>
        <w:tblBorders>
          <w:top w:val="single" w:color="A8D08D" w:themeColor="accent6" w:themeTint="99" w:sz="8" w:space="0"/>
          <w:left w:val="single" w:color="A8D08D" w:themeColor="accent6" w:themeTint="99" w:sz="8" w:space="0"/>
          <w:bottom w:val="single" w:color="A8D08D" w:themeColor="accent6" w:themeTint="99" w:sz="8" w:space="0"/>
          <w:right w:val="single" w:color="A8D08D" w:themeColor="accent6" w:themeTint="99" w:sz="8" w:space="0"/>
          <w:insideH w:val="single" w:color="A8D08D" w:themeColor="accent6" w:themeTint="99" w:sz="8" w:space="0"/>
          <w:insideV w:val="single" w:color="A8D08D" w:themeColor="accent6" w:themeTint="99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8"/>
        <w:gridCol w:w="1671"/>
        <w:gridCol w:w="1790"/>
        <w:gridCol w:w="1200"/>
        <w:gridCol w:w="1884"/>
        <w:gridCol w:w="2095"/>
      </w:tblGrid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检测项目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检测方法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检测范围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检测项目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检测方法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检测范围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COD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重铬酸钾氧化法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0～20000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臭氧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DPD法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0.01～10.00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磷钼蓝光度法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0.01～30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挥发酚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4-氨基安替吡啉直接光度法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0.10～5.00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过硫酸盐氧化法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0～100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尿素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二氯异氰尿酸钠－麝香草酚法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0.5～5.0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纳氏试剂法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0～150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4-氨基-3-联氨-5-巯基-1，2，4-三氮杂茂（AHMT）光度法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0.05～2.00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水杨酸法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0～50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氰尿酸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比浊法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5～200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浊度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90°散射法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0～200 NTU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碘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DPD法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0.1～15.0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直接比色法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0～500 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联氨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对二甲氨基苯甲醛法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0.01～3.00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酸度/pH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标准缓冲溶液法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6.5～8.5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溴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DPD法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0.1～10.0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溶解氧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碘量法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0.2～15.0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锰（高碘酸钾法）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高碘酸钾法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0.3～30.0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耗氧量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酸性高锰酸钾法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1.0～5.0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锰（甲醛肟法）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甲醛肟法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0.03～5.00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活性氧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DPD法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0.005～1.000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高锰酸钾氧化法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0.01～2.00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亚硝酸盐氮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重氮偶合光度法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0.003～0.500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三价铬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直接光度法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20～5000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硝酸盐氮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麝香草酚光度法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0.5～15.0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二苯碳酰二肼光度法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0.004～1.500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亚硫酸盐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碘量法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1～35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PAN-OP光度法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0.05～3.00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硫酸盐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硫酸钡比浊法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5～80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铍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铬菁R光度法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0.001～0.080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过氧化氢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碘量法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0.1～50.0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银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3,5-Br2-PADAP光度法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0.02～2.0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钼酸盐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硫氰酸盐光度法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0.2～35.0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钼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硫氰酸盐光度法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0.1～20.0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磷酸盐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磷钼蓝光度法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0.01～4.00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二甲酚橙法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0.5～5.0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硅酸盐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硅钼蓝光度法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0.1～15.0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钴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PAN法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0.02～5.00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余氯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DPD法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0.01～5.00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2，9-二甲基-1，10-菲啰啉光度法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0.2～5.0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总氯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DPD法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0.01～5.00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丁二酮肟法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0.1～20.0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二氧化氯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DPD法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0.02～10.00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钡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比浊法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2～100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二氧化氯/亚氯酸盐</w:t>
            </w:r>
          </w:p>
        </w:tc>
        <w:tc>
          <w:tcPr>
            <w:tcW w:w="16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DPD法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二氧化氯：0.02～10.00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镉-5-Br-PADAP-OP显色法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0.02～1.00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亚氯酸盐：0.00～2.00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钛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水杨基荧光酮光度法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0.02～0.30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化合性余氯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DPD法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0.01～5.00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钾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四苯硼钠法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0.5～10.0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有效氯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碘量法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低量程：5～500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硼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甲亚胺-H光度法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0.2～2.0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有效氯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碘量法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中量程：500～10000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总碱度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酸碱指示剂法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10～200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有效氯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碘量法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高量程：1.00%～15.00%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总硬度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钙镁试剂法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（低量程）0.05～4.00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氯化物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硫氰酸汞高铁光度法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0.2～20.0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总硬度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钙镁试剂法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（高量程）5～400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硫化物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N，N-二乙基对苯二胺光度法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0.02～1.00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钙硬度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钙镁试剂法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（低量程）0.05～4.00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氰化物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异烟酸-巴比妥酸光度法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0.002～0.400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钙硬度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钙镁试剂法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（高量程）5～400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SPADNS光度法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0.1～2.0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镁硬度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钙镁试剂法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（低量程）0.10～4.00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铁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二氮杂菲光度法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0.10～3.00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镁硬度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钙镁试剂法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（高量程）10～400 mg/L</w:t>
            </w:r>
          </w:p>
        </w:tc>
      </w:tr>
      <w:tr>
        <w:tblPrEx>
          <w:tblBorders>
            <w:top w:val="single" w:color="A8D08D" w:themeColor="accent6" w:themeTint="99" w:sz="8" w:space="0"/>
            <w:left w:val="single" w:color="A8D08D" w:themeColor="accent6" w:themeTint="99" w:sz="8" w:space="0"/>
            <w:bottom w:val="single" w:color="A8D08D" w:themeColor="accent6" w:themeTint="99" w:sz="8" w:space="0"/>
            <w:right w:val="single" w:color="A8D08D" w:themeColor="accent6" w:themeTint="99" w:sz="8" w:space="0"/>
            <w:insideH w:val="single" w:color="A8D08D" w:themeColor="accent6" w:themeTint="99" w:sz="8" w:space="0"/>
            <w:insideV w:val="single" w:color="A8D08D" w:themeColor="accent6" w:themeTint="99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铝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铬天青S光度方法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0.008～0.250 mg/L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总悬浮物（选配）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光度测定法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5～750 mg/L</w:t>
            </w:r>
          </w:p>
        </w:tc>
      </w:tr>
    </w:tbl>
    <w:p>
      <w:pPr>
        <w:pStyle w:val="16"/>
        <w:numPr>
          <w:ilvl w:val="0"/>
          <w:numId w:val="0"/>
        </w:numPr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10CFC1"/>
    <w:multiLevelType w:val="singleLevel"/>
    <w:tmpl w:val="FB10CFC1"/>
    <w:lvl w:ilvl="0" w:tentative="0">
      <w:start w:val="1"/>
      <w:numFmt w:val="decimal"/>
      <w:suff w:val="space"/>
      <w:lvlText w:val="%1."/>
      <w:lvlJc w:val="left"/>
      <w:rPr>
        <w:rFonts w:hint="default"/>
        <w:sz w:val="30"/>
        <w:szCs w:val="30"/>
      </w:rPr>
    </w:lvl>
  </w:abstractNum>
  <w:abstractNum w:abstractNumId="1">
    <w:nsid w:val="7D957F25"/>
    <w:multiLevelType w:val="multilevel"/>
    <w:tmpl w:val="7D957F25"/>
    <w:lvl w:ilvl="0" w:tentative="0">
      <w:start w:val="1"/>
      <w:numFmt w:val="decimal"/>
      <w:lvlText w:val="●"/>
      <w:lvlJc w:val="left"/>
      <w:pPr>
        <w:spacing w:before="100" w:after="100"/>
        <w:ind w:left="0" w:hanging="200"/>
      </w:pPr>
    </w:lvl>
    <w:lvl w:ilvl="1" w:tentative="0">
      <w:start w:val="1"/>
      <w:numFmt w:val="decimal"/>
      <w:lvlText w:val="●"/>
      <w:lvlJc w:val="left"/>
      <w:pPr>
        <w:spacing w:before="100" w:after="100"/>
        <w:ind w:left="200" w:hanging="200"/>
      </w:pPr>
    </w:lvl>
    <w:lvl w:ilvl="2" w:tentative="0">
      <w:start w:val="1"/>
      <w:numFmt w:val="decimal"/>
      <w:lvlText w:val="●"/>
      <w:lvlJc w:val="left"/>
      <w:pPr>
        <w:spacing w:before="100" w:after="100"/>
        <w:ind w:left="700" w:hanging="200"/>
      </w:pPr>
    </w:lvl>
    <w:lvl w:ilvl="3" w:tentative="0">
      <w:start w:val="1"/>
      <w:numFmt w:val="decimal"/>
      <w:lvlText w:val="●"/>
      <w:lvlJc w:val="left"/>
      <w:pPr>
        <w:spacing w:before="100" w:after="100"/>
        <w:ind w:left="1050" w:hanging="200"/>
      </w:pPr>
    </w:lvl>
    <w:lvl w:ilvl="4" w:tentative="0">
      <w:start w:val="1"/>
      <w:numFmt w:val="decimal"/>
      <w:lvlText w:val="●"/>
      <w:lvlJc w:val="left"/>
      <w:pPr>
        <w:spacing w:before="100" w:after="100"/>
        <w:ind w:left="1400" w:hanging="200"/>
      </w:pPr>
    </w:lvl>
    <w:lvl w:ilvl="5" w:tentative="0">
      <w:start w:val="1"/>
      <w:numFmt w:val="decimal"/>
      <w:lvlText w:val="●"/>
      <w:lvlJc w:val="left"/>
      <w:pPr>
        <w:spacing w:before="100" w:after="100"/>
        <w:ind w:left="1750" w:hanging="200"/>
      </w:pPr>
    </w:lvl>
    <w:lvl w:ilvl="6" w:tentative="0">
      <w:start w:val="1"/>
      <w:numFmt w:val="decimal"/>
      <w:lvlText w:val="●"/>
      <w:lvlJc w:val="left"/>
      <w:pPr>
        <w:spacing w:before="100" w:after="100"/>
        <w:ind w:left="2100" w:hanging="200"/>
      </w:pPr>
    </w:lvl>
    <w:lvl w:ilvl="7" w:tentative="0">
      <w:start w:val="1"/>
      <w:numFmt w:val="decimal"/>
      <w:lvlText w:val="●"/>
      <w:lvlJc w:val="left"/>
      <w:pPr>
        <w:spacing w:before="100" w:after="100"/>
        <w:ind w:left="2450" w:hanging="200"/>
      </w:pPr>
    </w:lvl>
    <w:lvl w:ilvl="8" w:tentative="0">
      <w:start w:val="1"/>
      <w:numFmt w:val="decimal"/>
      <w:lvlText w:val="●"/>
      <w:lvlJc w:val="left"/>
      <w:pPr>
        <w:spacing w:before="100" w:after="100"/>
        <w:ind w:left="2800" w:hanging="2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62707"/>
    <w:rsid w:val="00174BB6"/>
    <w:rsid w:val="00383E33"/>
    <w:rsid w:val="00B43687"/>
    <w:rsid w:val="00B94C47"/>
    <w:rsid w:val="00D31EF7"/>
    <w:rsid w:val="00D62707"/>
    <w:rsid w:val="00E51F06"/>
    <w:rsid w:val="030F0C3D"/>
    <w:rsid w:val="78B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lang w:val="en-US" w:eastAsia="zh-CN" w:bidi="ar-SA"/>
    </w:rPr>
  </w:style>
  <w:style w:type="paragraph" w:styleId="2">
    <w:name w:val="heading 1"/>
    <w:next w:val="1"/>
    <w:qFormat/>
    <w:uiPriority w:val="9"/>
    <w:pPr>
      <w:outlineLvl w:val="0"/>
    </w:pPr>
    <w:rPr>
      <w:rFonts w:ascii="Times New Roman" w:hAnsi="Times New Roman" w:cs="Times New Roman" w:eastAsiaTheme="minorEastAsia"/>
      <w:color w:val="2E74B5"/>
      <w:sz w:val="32"/>
      <w:szCs w:val="32"/>
      <w:lang w:val="en-US" w:eastAsia="zh-CN" w:bidi="ar-SA"/>
    </w:rPr>
  </w:style>
  <w:style w:type="paragraph" w:styleId="3">
    <w:name w:val="heading 2"/>
    <w:next w:val="1"/>
    <w:semiHidden/>
    <w:unhideWhenUsed/>
    <w:qFormat/>
    <w:uiPriority w:val="9"/>
    <w:pPr>
      <w:outlineLvl w:val="1"/>
    </w:pPr>
    <w:rPr>
      <w:rFonts w:ascii="Times New Roman" w:hAnsi="Times New Roman" w:cs="Times New Roman" w:eastAsiaTheme="minorEastAsia"/>
      <w:color w:val="2E74B5"/>
      <w:sz w:val="26"/>
      <w:szCs w:val="26"/>
      <w:lang w:val="en-US" w:eastAsia="zh-CN" w:bidi="ar-SA"/>
    </w:rPr>
  </w:style>
  <w:style w:type="paragraph" w:styleId="4">
    <w:name w:val="heading 3"/>
    <w:next w:val="1"/>
    <w:semiHidden/>
    <w:unhideWhenUsed/>
    <w:qFormat/>
    <w:uiPriority w:val="9"/>
    <w:pPr>
      <w:outlineLvl w:val="2"/>
    </w:pPr>
    <w:rPr>
      <w:rFonts w:ascii="Times New Roman" w:hAnsi="Times New Roman" w:cs="Times New Roman" w:eastAsiaTheme="minorEastAsia"/>
      <w:color w:val="1F4D78"/>
      <w:sz w:val="24"/>
      <w:szCs w:val="24"/>
      <w:lang w:val="en-US" w:eastAsia="zh-CN" w:bidi="ar-SA"/>
    </w:rPr>
  </w:style>
  <w:style w:type="paragraph" w:styleId="5">
    <w:name w:val="heading 4"/>
    <w:next w:val="1"/>
    <w:semiHidden/>
    <w:unhideWhenUsed/>
    <w:qFormat/>
    <w:uiPriority w:val="9"/>
    <w:pPr>
      <w:outlineLvl w:val="3"/>
    </w:pPr>
    <w:rPr>
      <w:rFonts w:ascii="Times New Roman" w:hAnsi="Times New Roman" w:cs="Times New Roman" w:eastAsiaTheme="minorEastAsia"/>
      <w:i/>
      <w:color w:val="2E74B5"/>
      <w:lang w:val="en-US" w:eastAsia="zh-CN" w:bidi="ar-SA"/>
    </w:rPr>
  </w:style>
  <w:style w:type="paragraph" w:styleId="6">
    <w:name w:val="heading 5"/>
    <w:next w:val="1"/>
    <w:semiHidden/>
    <w:unhideWhenUsed/>
    <w:qFormat/>
    <w:uiPriority w:val="9"/>
    <w:pPr>
      <w:outlineLvl w:val="4"/>
    </w:pPr>
    <w:rPr>
      <w:rFonts w:ascii="Times New Roman" w:hAnsi="Times New Roman" w:cs="Times New Roman" w:eastAsiaTheme="minorEastAsia"/>
      <w:color w:val="2E74B5"/>
      <w:lang w:val="en-US" w:eastAsia="zh-CN" w:bidi="ar-SA"/>
    </w:rPr>
  </w:style>
  <w:style w:type="paragraph" w:styleId="7">
    <w:name w:val="heading 6"/>
    <w:next w:val="1"/>
    <w:semiHidden/>
    <w:unhideWhenUsed/>
    <w:qFormat/>
    <w:uiPriority w:val="9"/>
    <w:pPr>
      <w:outlineLvl w:val="5"/>
    </w:pPr>
    <w:rPr>
      <w:rFonts w:ascii="Times New Roman" w:hAnsi="Times New Roman" w:cs="Times New Roman" w:eastAsiaTheme="minorEastAsia"/>
      <w:color w:val="1F4D78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link w:val="17"/>
    <w:semiHidden/>
    <w:unhideWhenUsed/>
    <w:qFormat/>
    <w:uiPriority w:val="99"/>
    <w:rPr>
      <w:rFonts w:ascii="Times New Roman" w:hAnsi="Times New Roman" w:cs="Times New Roman" w:eastAsiaTheme="minorEastAsia"/>
      <w:lang w:val="en-US" w:eastAsia="zh-CN" w:bidi="ar-SA"/>
    </w:rPr>
  </w:style>
  <w:style w:type="paragraph" w:styleId="11">
    <w:name w:val="Title"/>
    <w:qFormat/>
    <w:uiPriority w:val="10"/>
    <w:rPr>
      <w:rFonts w:ascii="Times New Roman" w:hAnsi="Times New Roman" w:cs="Times New Roman" w:eastAsiaTheme="minorEastAsia"/>
      <w:sz w:val="56"/>
      <w:szCs w:val="56"/>
      <w:lang w:val="en-US" w:eastAsia="zh-CN" w:bidi="ar-SA"/>
    </w:rPr>
  </w:style>
  <w:style w:type="character" w:styleId="14">
    <w:name w:val="Hyperlink"/>
    <w:unhideWhenUsed/>
    <w:qFormat/>
    <w:uiPriority w:val="99"/>
    <w:rPr>
      <w:color w:val="0563C1"/>
      <w:u w:val="single"/>
    </w:rPr>
  </w:style>
  <w:style w:type="character" w:styleId="15">
    <w:name w:val="footnote reference"/>
    <w:semiHidden/>
    <w:unhideWhenUsed/>
    <w:qFormat/>
    <w:uiPriority w:val="99"/>
    <w:rPr>
      <w:vertAlign w:val="superscript"/>
    </w:rPr>
  </w:style>
  <w:style w:type="paragraph" w:styleId="16">
    <w:name w:val="List Paragraph"/>
    <w:qFormat/>
    <w:uiPriority w:val="0"/>
    <w:rPr>
      <w:rFonts w:ascii="Times New Roman" w:hAnsi="Times New Roman" w:cs="Times New Roman" w:eastAsiaTheme="minorEastAsia"/>
      <w:lang w:val="en-US" w:eastAsia="zh-CN" w:bidi="ar-SA"/>
    </w:rPr>
  </w:style>
  <w:style w:type="character" w:customStyle="1" w:styleId="17">
    <w:name w:val="脚注文本 字符"/>
    <w:link w:val="10"/>
    <w:semiHidden/>
    <w:unhideWhenUsed/>
    <w:qFormat/>
    <w:uiPriority w:val="99"/>
    <w:rPr>
      <w:sz w:val="20"/>
      <w:szCs w:val="20"/>
    </w:rPr>
  </w:style>
  <w:style w:type="character" w:customStyle="1" w:styleId="18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8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1</TotalTime>
  <ScaleCrop>false</ScaleCrop>
  <LinksUpToDate>false</LinksUpToDate>
  <CharactersWithSpaces>363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2022-02-22T23:46:00Z</dcterms:created>
  <dc:creator>honor</dc:creator>
  <cp:lastModifiedBy></cp:lastModifiedBy>
  <dcterms:modified xsi:type="dcterms:W3CDTF">2022-03-07T03:44:25Z</dcterms:modified>
  <dc:title>环保行业高效自动化分析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D2FF5A54A2494F7DAE17615C3FBDDAA3</vt:lpwstr>
  </property>
</Properties>
</file>