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1C3D4">
      <w:pPr>
        <w:wordWrap w:val="0"/>
        <w:jc w:val="both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  <w:t>附件1</w:t>
      </w:r>
    </w:p>
    <w:p w14:paraId="52716F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jc w:val="center"/>
        <w:textAlignment w:val="auto"/>
        <w:rPr>
          <w:rFonts w:hint="eastAsia" w:ascii="Times New Roman" w:hAnsi="Times New Roman" w:eastAsia="方正小标宋简体"/>
          <w:b w:val="0"/>
          <w:bCs w:val="0"/>
          <w:sz w:val="44"/>
          <w:szCs w:val="44"/>
          <w:highlight w:val="none"/>
        </w:rPr>
      </w:pPr>
      <w:bookmarkStart w:id="0" w:name="_GoBack"/>
      <w:r>
        <w:rPr>
          <w:rFonts w:hint="eastAsia" w:ascii="Times New Roman" w:hAnsi="Times New Roman" w:eastAsia="方正小标宋简体"/>
          <w:b w:val="0"/>
          <w:bCs w:val="0"/>
          <w:sz w:val="44"/>
          <w:szCs w:val="44"/>
          <w:highlight w:val="none"/>
        </w:rPr>
        <w:t>相关概念含义</w:t>
      </w:r>
    </w:p>
    <w:bookmarkEnd w:id="0"/>
    <w:p w14:paraId="7F700F51">
      <w:pPr>
        <w:adjustRightInd w:val="0"/>
        <w:snapToGrid w:val="0"/>
        <w:spacing w:line="594" w:lineRule="exact"/>
        <w:ind w:firstLine="3614" w:firstLineChars="1000"/>
        <w:jc w:val="both"/>
        <w:rPr>
          <w:rFonts w:hint="eastAsia" w:ascii="黑体" w:hAnsi="黑体" w:eastAsia="黑体" w:cs="黑体"/>
          <w:b/>
          <w:bCs/>
          <w:color w:val="auto"/>
          <w:sz w:val="36"/>
          <w:szCs w:val="36"/>
          <w:highlight w:val="none"/>
        </w:rPr>
      </w:pPr>
    </w:p>
    <w:p w14:paraId="674B92E3">
      <w:pPr>
        <w:numPr>
          <w:ilvl w:val="0"/>
          <w:numId w:val="1"/>
        </w:numPr>
        <w:adjustRightInd w:val="0"/>
        <w:snapToGrid w:val="0"/>
        <w:spacing w:line="594" w:lineRule="exact"/>
        <w:ind w:firstLine="640" w:firstLineChars="200"/>
        <w:jc w:val="both"/>
        <w:rPr>
          <w:rFonts w:hint="eastAsia" w:hAnsi="仿宋_GB2312" w:eastAsia="仿宋_GB2312" w:cs="仿宋_GB2312"/>
          <w:color w:val="auto"/>
          <w:highlight w:val="none"/>
          <w:lang w:eastAsia="zh-CN"/>
        </w:rPr>
      </w:pPr>
      <w:r>
        <w:rPr>
          <w:rFonts w:hint="eastAsia" w:hAnsi="仿宋_GB2312" w:eastAsia="仿宋_GB2312" w:cs="仿宋_GB2312"/>
          <w:color w:val="auto"/>
          <w:highlight w:val="none"/>
        </w:rPr>
        <w:t>中级相关专业职称，是指会计师</w:t>
      </w:r>
      <w:r>
        <w:rPr>
          <w:rFonts w:hint="eastAsia" w:hAnsi="仿宋_GB2312" w:eastAsia="仿宋_GB2312" w:cs="仿宋_GB2312"/>
          <w:color w:val="auto"/>
          <w:highlight w:val="none"/>
          <w:lang w:eastAsia="zh-CN"/>
        </w:rPr>
        <w:t>。</w:t>
      </w:r>
    </w:p>
    <w:p w14:paraId="13AA2C03">
      <w:pPr>
        <w:numPr>
          <w:ilvl w:val="0"/>
          <w:numId w:val="0"/>
        </w:numPr>
        <w:adjustRightInd w:val="0"/>
        <w:snapToGrid w:val="0"/>
        <w:spacing w:line="594" w:lineRule="exact"/>
        <w:ind w:firstLine="640" w:firstLineChars="200"/>
        <w:jc w:val="both"/>
        <w:rPr>
          <w:rFonts w:hint="eastAsia" w:hAnsi="仿宋_GB2312" w:eastAsia="仿宋_GB2312" w:cs="仿宋_GB2312"/>
          <w:color w:val="auto"/>
          <w:highlight w:val="none"/>
        </w:rPr>
      </w:pPr>
      <w:r>
        <w:rPr>
          <w:rFonts w:hint="eastAsia" w:hAnsi="仿宋_GB2312" w:eastAsia="仿宋_GB2312" w:cs="仿宋_GB2312"/>
          <w:color w:val="auto"/>
          <w:highlight w:val="none"/>
        </w:rPr>
        <w:t>二、会计或相关专业，是指会计、审计、经济（财政税收类）、统计等专业。</w:t>
      </w:r>
    </w:p>
    <w:p w14:paraId="42F8D952">
      <w:pPr>
        <w:adjustRightInd w:val="0"/>
        <w:snapToGrid w:val="0"/>
        <w:spacing w:line="594" w:lineRule="exact"/>
        <w:ind w:firstLine="640" w:firstLineChars="200"/>
        <w:jc w:val="both"/>
        <w:rPr>
          <w:rFonts w:hint="eastAsia" w:hAnsi="仿宋_GB2312" w:eastAsia="仿宋_GB2312" w:cs="仿宋_GB2312"/>
          <w:color w:val="auto"/>
          <w:highlight w:val="none"/>
        </w:rPr>
      </w:pPr>
      <w:r>
        <w:rPr>
          <w:rFonts w:hint="eastAsia" w:hAnsi="仿宋_GB2312" w:eastAsia="仿宋_GB2312" w:cs="仿宋_GB2312"/>
          <w:color w:val="auto"/>
          <w:highlight w:val="none"/>
        </w:rPr>
        <w:t>三、学历（学位），指国家教育行政主管部门认可的学历（学位）。</w:t>
      </w:r>
    </w:p>
    <w:p w14:paraId="563064E3">
      <w:pPr>
        <w:adjustRightInd w:val="0"/>
        <w:snapToGrid w:val="0"/>
        <w:spacing w:line="594" w:lineRule="exact"/>
        <w:ind w:firstLine="640" w:firstLineChars="200"/>
        <w:jc w:val="both"/>
        <w:rPr>
          <w:rFonts w:hint="eastAsia" w:hAnsi="仿宋_GB2312" w:eastAsia="仿宋_GB2312" w:cs="仿宋_GB2312"/>
          <w:color w:val="auto"/>
          <w:highlight w:val="none"/>
        </w:rPr>
      </w:pPr>
      <w:r>
        <w:rPr>
          <w:rFonts w:hint="eastAsia" w:hAnsi="仿宋_GB2312" w:eastAsia="仿宋_GB2312" w:cs="仿宋_GB2312"/>
          <w:color w:val="auto"/>
          <w:highlight w:val="none"/>
        </w:rPr>
        <w:t>四、会计财务实务工作（含相关专业实务工作），指主要或大量运用会计或财务管理知识的各项专业实务工作，包括但不限于财务会计、管理会计、财务管理、资产评估、内部控制与风险管理、绩效评价、信贷分析、审计、财务与管理咨询、股票发行与上市、重大资产重组、证券分析、资产管理等工作。</w:t>
      </w:r>
    </w:p>
    <w:p w14:paraId="0DEDCD47">
      <w:pPr>
        <w:adjustRightInd w:val="0"/>
        <w:snapToGrid w:val="0"/>
        <w:spacing w:line="594" w:lineRule="exact"/>
        <w:ind w:firstLine="640" w:firstLineChars="200"/>
        <w:jc w:val="both"/>
        <w:rPr>
          <w:rFonts w:hint="eastAsia" w:hAnsi="仿宋_GB2312" w:eastAsia="仿宋_GB2312" w:cs="仿宋_GB2312"/>
          <w:color w:val="auto"/>
          <w:highlight w:val="none"/>
        </w:rPr>
      </w:pPr>
      <w:r>
        <w:rPr>
          <w:rFonts w:hint="eastAsia" w:hAnsi="仿宋_GB2312" w:eastAsia="仿宋_GB2312" w:cs="仿宋_GB2312"/>
          <w:color w:val="auto"/>
          <w:highlight w:val="none"/>
        </w:rPr>
        <w:t>五、大中型企业，参照国家统计局《</w:t>
      </w:r>
      <w:r>
        <w:rPr>
          <w:rFonts w:hint="eastAsia" w:hAnsi="仿宋_GB2312" w:eastAsia="仿宋_GB2312" w:cs="仿宋_GB2312"/>
          <w:color w:val="auto"/>
          <w:highlight w:val="none"/>
        </w:rPr>
        <w:fldChar w:fldCharType="begin"/>
      </w:r>
      <w:r>
        <w:rPr>
          <w:rFonts w:hint="eastAsia" w:hAnsi="仿宋_GB2312" w:eastAsia="仿宋_GB2312" w:cs="仿宋_GB2312"/>
          <w:color w:val="auto"/>
          <w:highlight w:val="none"/>
        </w:rPr>
        <w:instrText xml:space="preserve"> HYPERLINK "http://www.shui5.cn/article/21/117615.html" </w:instrText>
      </w:r>
      <w:r>
        <w:rPr>
          <w:rFonts w:hint="eastAsia" w:hAnsi="仿宋_GB2312" w:eastAsia="仿宋_GB2312" w:cs="仿宋_GB2312"/>
          <w:color w:val="auto"/>
          <w:highlight w:val="none"/>
        </w:rPr>
        <w:fldChar w:fldCharType="separate"/>
      </w:r>
      <w:r>
        <w:rPr>
          <w:rFonts w:hint="eastAsia" w:hAnsi="仿宋_GB2312" w:eastAsia="仿宋_GB2312" w:cs="仿宋_GB2312"/>
          <w:color w:val="auto"/>
          <w:highlight w:val="none"/>
        </w:rPr>
        <w:t>关于印发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〈</w:t>
      </w:r>
      <w:r>
        <w:rPr>
          <w:rFonts w:hint="eastAsia" w:hAnsi="仿宋_GB2312" w:eastAsia="仿宋_GB2312" w:cs="仿宋_GB2312"/>
          <w:color w:val="auto"/>
          <w:highlight w:val="none"/>
        </w:rPr>
        <w:t>统计上大中小微型企业划分办法（2017）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〉</w:t>
      </w:r>
      <w:r>
        <w:rPr>
          <w:rFonts w:hint="eastAsia" w:hAnsi="仿宋_GB2312" w:eastAsia="仿宋_GB2312" w:cs="仿宋_GB2312"/>
          <w:color w:val="auto"/>
          <w:highlight w:val="none"/>
        </w:rPr>
        <w:t>的通知</w:t>
      </w:r>
      <w:r>
        <w:rPr>
          <w:rFonts w:hint="eastAsia" w:hAnsi="仿宋_GB2312" w:eastAsia="仿宋_GB2312" w:cs="仿宋_GB2312"/>
          <w:color w:val="auto"/>
          <w:highlight w:val="none"/>
        </w:rPr>
        <w:fldChar w:fldCharType="end"/>
      </w:r>
      <w:r>
        <w:rPr>
          <w:rFonts w:hint="eastAsia" w:hAnsi="仿宋_GB2312" w:eastAsia="仿宋_GB2312" w:cs="仿宋_GB2312"/>
          <w:color w:val="auto"/>
          <w:highlight w:val="none"/>
        </w:rPr>
        <w:t>》（</w:t>
      </w:r>
      <w:r>
        <w:rPr>
          <w:rFonts w:hint="eastAsia" w:hAnsi="仿宋_GB2312" w:eastAsia="仿宋_GB2312" w:cs="仿宋_GB2312"/>
          <w:color w:val="auto"/>
          <w:highlight w:val="none"/>
        </w:rPr>
        <w:fldChar w:fldCharType="begin"/>
      </w:r>
      <w:r>
        <w:rPr>
          <w:rFonts w:hint="eastAsia" w:hAnsi="仿宋_GB2312" w:eastAsia="仿宋_GB2312" w:cs="仿宋_GB2312"/>
          <w:color w:val="auto"/>
          <w:highlight w:val="none"/>
        </w:rPr>
        <w:instrText xml:space="preserve"> HYPERLINK "http://www.shui5.cn/article/21/117615.html" </w:instrText>
      </w:r>
      <w:r>
        <w:rPr>
          <w:rFonts w:hint="eastAsia" w:hAnsi="仿宋_GB2312" w:eastAsia="仿宋_GB2312" w:cs="仿宋_GB2312"/>
          <w:color w:val="auto"/>
          <w:highlight w:val="none"/>
        </w:rPr>
        <w:fldChar w:fldCharType="separate"/>
      </w:r>
      <w:r>
        <w:rPr>
          <w:rFonts w:hint="eastAsia" w:hAnsi="仿宋_GB2312" w:eastAsia="仿宋_GB2312" w:cs="仿宋_GB2312"/>
          <w:color w:val="auto"/>
          <w:highlight w:val="none"/>
        </w:rPr>
        <w:t>国统字〔2017〕213号</w:t>
      </w:r>
      <w:r>
        <w:rPr>
          <w:rFonts w:hint="eastAsia" w:hAnsi="仿宋_GB2312" w:eastAsia="仿宋_GB2312" w:cs="仿宋_GB2312"/>
          <w:color w:val="auto"/>
          <w:highlight w:val="none"/>
        </w:rPr>
        <w:fldChar w:fldCharType="end"/>
      </w:r>
      <w:r>
        <w:rPr>
          <w:rFonts w:hint="eastAsia" w:hAnsi="仿宋_GB2312" w:eastAsia="仿宋_GB2312" w:cs="仿宋_GB2312"/>
          <w:color w:val="auto"/>
          <w:highlight w:val="none"/>
        </w:rPr>
        <w:t>）的标准划分。</w:t>
      </w:r>
    </w:p>
    <w:p w14:paraId="1E8B1C66">
      <w:pPr>
        <w:adjustRightInd w:val="0"/>
        <w:snapToGrid w:val="0"/>
        <w:spacing w:line="594" w:lineRule="exact"/>
        <w:ind w:firstLine="640" w:firstLineChars="200"/>
        <w:jc w:val="both"/>
        <w:rPr>
          <w:rFonts w:hint="eastAsia" w:hAnsi="仿宋_GB2312" w:eastAsia="仿宋_GB2312" w:cs="仿宋_GB2312"/>
          <w:color w:val="auto"/>
          <w:highlight w:val="none"/>
        </w:rPr>
      </w:pPr>
      <w:r>
        <w:rPr>
          <w:rFonts w:hint="eastAsia" w:hAnsi="仿宋_GB2312" w:eastAsia="仿宋_GB2312" w:cs="仿宋_GB2312"/>
          <w:color w:val="auto"/>
          <w:highlight w:val="none"/>
        </w:rPr>
        <w:t>六、参与，是指项目（论著、报告）的主要参与者或核心成员，在项目成员（作者）中排前三名。</w:t>
      </w:r>
    </w:p>
    <w:p w14:paraId="4A38A17A">
      <w:pPr>
        <w:adjustRightInd w:val="0"/>
        <w:snapToGrid w:val="0"/>
        <w:spacing w:line="594" w:lineRule="exact"/>
        <w:ind w:firstLine="640" w:firstLineChars="200"/>
        <w:jc w:val="both"/>
        <w:rPr>
          <w:rFonts w:hint="eastAsia" w:hAnsi="仿宋_GB2312" w:eastAsia="仿宋_GB2312" w:cs="仿宋_GB2312"/>
          <w:color w:val="auto"/>
          <w:highlight w:val="none"/>
        </w:rPr>
      </w:pPr>
      <w:r>
        <w:rPr>
          <w:rFonts w:hint="eastAsia" w:hAnsi="仿宋_GB2312" w:eastAsia="仿宋_GB2312" w:cs="仿宋_GB2312"/>
          <w:color w:val="auto"/>
          <w:highlight w:val="none"/>
        </w:rPr>
        <w:t>七、主持或项目负责人，即主持该项目的人，位列项目成员第一。</w:t>
      </w:r>
    </w:p>
    <w:p w14:paraId="0D457D98">
      <w:pPr>
        <w:adjustRightInd w:val="0"/>
        <w:snapToGrid w:val="0"/>
        <w:spacing w:line="594" w:lineRule="exact"/>
        <w:ind w:firstLine="640" w:firstLineChars="200"/>
        <w:jc w:val="both"/>
        <w:rPr>
          <w:rFonts w:hint="eastAsia" w:hAnsi="仿宋_GB2312" w:eastAsia="仿宋_GB2312" w:cs="仿宋_GB2312"/>
          <w:color w:val="auto"/>
          <w:highlight w:val="none"/>
        </w:rPr>
      </w:pPr>
      <w:r>
        <w:rPr>
          <w:rFonts w:hint="eastAsia" w:hAnsi="仿宋_GB2312" w:eastAsia="仿宋_GB2312" w:cs="仿宋_GB2312"/>
          <w:color w:val="auto"/>
          <w:highlight w:val="none"/>
        </w:rPr>
        <w:t>八、论文，是指本专业研究性学术文章。凡对事业或业务工作现象进行一般描述、介绍、报道的文章，不能视为论文。所有的清样稿、论文录用通知不能作为已发表论文的依据。</w:t>
      </w:r>
    </w:p>
    <w:p w14:paraId="01557451">
      <w:pPr>
        <w:adjustRightInd w:val="0"/>
        <w:snapToGrid w:val="0"/>
        <w:spacing w:line="594" w:lineRule="exact"/>
        <w:ind w:firstLine="640" w:firstLineChars="200"/>
        <w:jc w:val="both"/>
        <w:rPr>
          <w:rFonts w:hint="eastAsia" w:hAnsi="仿宋_GB2312" w:eastAsia="仿宋_GB2312" w:cs="仿宋_GB2312"/>
          <w:color w:val="auto"/>
          <w:highlight w:val="none"/>
        </w:rPr>
      </w:pPr>
      <w:r>
        <w:rPr>
          <w:rFonts w:hint="eastAsia" w:hAnsi="仿宋_GB2312" w:eastAsia="仿宋_GB2312" w:cs="仿宋_GB2312"/>
          <w:color w:val="auto"/>
          <w:highlight w:val="none"/>
        </w:rPr>
        <w:t>九、公开出版，是指有国内标准书号（ISBN号）,或国内统一刊号（CN号，类别代码F）和国际统一刊号（ISSN号）的出版物;或省级以上业务主管部门、学术机构主办的定期出版的财会类专业刊物。</w:t>
      </w:r>
    </w:p>
    <w:p w14:paraId="06FA8290">
      <w:pPr>
        <w:adjustRightInd w:val="0"/>
        <w:snapToGrid w:val="0"/>
        <w:spacing w:line="594" w:lineRule="exact"/>
        <w:ind w:firstLine="640" w:firstLineChars="200"/>
        <w:jc w:val="both"/>
        <w:rPr>
          <w:rFonts w:hint="eastAsia" w:hAnsi="仿宋_GB2312" w:eastAsia="仿宋_GB2312" w:cs="仿宋_GB2312"/>
          <w:color w:val="auto"/>
          <w:highlight w:val="none"/>
        </w:rPr>
      </w:pPr>
      <w:r>
        <w:rPr>
          <w:rFonts w:hint="eastAsia" w:hAnsi="仿宋_GB2312" w:eastAsia="仿宋_GB2312" w:cs="仿宋_GB2312"/>
          <w:color w:val="auto"/>
          <w:highlight w:val="none"/>
        </w:rPr>
        <w:t>十、省级以上高端会计人才工程，是指由财政部、省财政厅举办的高端（领军）会计人才工程。</w:t>
      </w:r>
    </w:p>
    <w:p w14:paraId="60E37F7C">
      <w:pPr>
        <w:adjustRightInd w:val="0"/>
        <w:snapToGrid w:val="0"/>
        <w:spacing w:line="594" w:lineRule="exact"/>
        <w:ind w:firstLine="640" w:firstLineChars="200"/>
        <w:jc w:val="both"/>
        <w:rPr>
          <w:rFonts w:hint="eastAsia" w:hAnsi="仿宋_GB2312" w:eastAsia="仿宋_GB2312" w:cs="仿宋_GB2312"/>
          <w:color w:val="auto"/>
          <w:highlight w:val="none"/>
        </w:rPr>
      </w:pPr>
      <w:r>
        <w:rPr>
          <w:rFonts w:hint="eastAsia" w:hAnsi="仿宋_GB2312" w:eastAsia="仿宋_GB2312" w:cs="仿宋_GB2312"/>
          <w:color w:val="auto"/>
          <w:highlight w:val="none"/>
        </w:rPr>
        <w:t>十</w:t>
      </w:r>
      <w:r>
        <w:rPr>
          <w:rFonts w:hint="eastAsia" w:hAnsi="仿宋_GB2312" w:eastAsia="仿宋_GB2312" w:cs="仿宋_GB2312"/>
          <w:color w:val="auto"/>
          <w:highlight w:val="none"/>
          <w:lang w:eastAsia="zh-CN"/>
        </w:rPr>
        <w:t>一</w:t>
      </w:r>
      <w:r>
        <w:rPr>
          <w:rFonts w:hint="eastAsia" w:hAnsi="仿宋_GB2312" w:eastAsia="仿宋_GB2312" w:cs="仿宋_GB2312"/>
          <w:color w:val="auto"/>
          <w:highlight w:val="none"/>
        </w:rPr>
        <w:t>、凡冠有“以上”的，均含本级或本数量。</w:t>
      </w:r>
    </w:p>
    <w:p w14:paraId="1C7D9810">
      <w:pPr>
        <w:ind w:firstLine="640" w:firstLineChars="200"/>
        <w:jc w:val="both"/>
        <w:rPr>
          <w:rFonts w:hint="eastAsia" w:hAnsi="仿宋_GB2312" w:eastAsia="仿宋_GB2312" w:cs="仿宋_GB2312"/>
          <w:color w:val="auto"/>
          <w:highlight w:val="none"/>
        </w:rPr>
      </w:pPr>
    </w:p>
    <w:p w14:paraId="3756DC14">
      <w:pPr>
        <w:wordWrap/>
        <w:ind w:firstLine="640" w:firstLineChars="200"/>
        <w:jc w:val="both"/>
        <w:rPr>
          <w:color w:val="auto"/>
          <w:highlight w:val="none"/>
        </w:rPr>
      </w:pPr>
    </w:p>
    <w:p w14:paraId="76205140">
      <w:pPr>
        <w:wordWrap/>
        <w:ind w:firstLine="640" w:firstLineChars="200"/>
        <w:jc w:val="both"/>
        <w:rPr>
          <w:color w:val="auto"/>
          <w:highlight w:val="none"/>
        </w:rPr>
      </w:pPr>
    </w:p>
    <w:p w14:paraId="41FACD0A">
      <w:pPr>
        <w:wordWrap/>
        <w:ind w:firstLine="640" w:firstLineChars="200"/>
        <w:jc w:val="both"/>
        <w:rPr>
          <w:color w:val="auto"/>
          <w:highlight w:val="none"/>
        </w:rPr>
      </w:pPr>
    </w:p>
    <w:p w14:paraId="0D926759">
      <w:pPr>
        <w:pStyle w:val="4"/>
        <w:rPr>
          <w:color w:val="auto"/>
          <w:highlight w:val="none"/>
        </w:rPr>
      </w:pPr>
    </w:p>
    <w:p w14:paraId="66E88819">
      <w:pPr>
        <w:rPr>
          <w:color w:val="auto"/>
          <w:highlight w:val="none"/>
        </w:rPr>
      </w:pPr>
    </w:p>
    <w:p w14:paraId="2FD97B3E">
      <w:pPr>
        <w:pStyle w:val="4"/>
        <w:rPr>
          <w:highlight w:val="none"/>
        </w:rPr>
      </w:pPr>
    </w:p>
    <w:p w14:paraId="22E97419">
      <w:pPr>
        <w:rPr>
          <w:highlight w:val="none"/>
        </w:rPr>
      </w:pPr>
    </w:p>
    <w:p w14:paraId="456692A9">
      <w:pPr>
        <w:pStyle w:val="2"/>
        <w:rPr>
          <w:highlight w:val="none"/>
        </w:rPr>
      </w:pPr>
    </w:p>
    <w:p w14:paraId="577CB8A7">
      <w:pPr>
        <w:pStyle w:val="2"/>
        <w:rPr>
          <w:highlight w:val="none"/>
        </w:rPr>
      </w:pPr>
    </w:p>
    <w:p w14:paraId="47C0F1F1">
      <w:pPr>
        <w:pStyle w:val="2"/>
        <w:rPr>
          <w:highlight w:val="none"/>
        </w:rPr>
      </w:pPr>
    </w:p>
    <w:p w14:paraId="7D331FCF">
      <w:pPr>
        <w:pStyle w:val="2"/>
        <w:rPr>
          <w:highlight w:val="none"/>
        </w:rPr>
      </w:pPr>
    </w:p>
    <w:p w14:paraId="2CD2C491">
      <w:pPr>
        <w:pStyle w:val="2"/>
        <w:rPr>
          <w:highlight w:val="none"/>
        </w:rPr>
      </w:pPr>
    </w:p>
    <w:p w14:paraId="2B504C5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BC4BD8"/>
    <w:multiLevelType w:val="singleLevel"/>
    <w:tmpl w:val="C7BC4BD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326FC1"/>
    <w:rsid w:val="4A326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方正小标宋简体" w:cs="Times New Roman"/>
      <w:kern w:val="2"/>
      <w:sz w:val="32"/>
      <w:szCs w:val="32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wordWrap w:val="0"/>
      <w:spacing w:before="0" w:after="160" w:line="240" w:lineRule="auto"/>
      <w:ind w:left="0"/>
      <w:jc w:val="both"/>
      <w:outlineLvl w:val="1"/>
    </w:pPr>
    <w:rPr>
      <w:sz w:val="21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 w:hAnsi="宋体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2025-07-18T10:40:00Z</dcterms:created>
  <dc:creator>黑熊精〰</dc:creator>
  <cp:lastModifiedBy>黑熊精〰</cp:lastModifiedBy>
  <dcterms:modified xsi:type="dcterms:W3CDTF">2025-07-18T10:41:25Z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3FE6C6432CF14510B452B33EC651884A_11</vt:lpwstr>
  </property>
  <property fmtid="{D5CDD505-2E9C-101B-9397-08002B2CF9AE}" pid="4" name="KSOTemplateDocerSaveRecord">
    <vt:lpwstr>eyJoZGlkIjoiOWM5MjlmNzYzM2EyZjVhODBkZTk2YWViZTIwYTVhZGMiLCJ1c2VySWQiOiI1MzE3MzYyMzUifQ==</vt:lpwstr>
  </property>
</Properties>
</file>