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D61957">
        <w:rPr>
          <w:rFonts w:ascii="宋体" w:hAnsi="宋体" w:cs="宋体" w:hint="eastAsia"/>
          <w:kern w:val="0"/>
          <w:szCs w:val="18"/>
        </w:rPr>
        <w:t>CN ZQ G4 Z2 0156000004 000001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D61957">
        <w:rPr>
          <w:rFonts w:ascii="宋体" w:hAnsi="宋体" w:cs="宋体" w:hint="eastAsia"/>
          <w:kern w:val="0"/>
          <w:szCs w:val="18"/>
        </w:rPr>
        <w:t>奇瑞商用车(安徽)有限公司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环境保护部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SQR6545H13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奇瑞商用车(安徽)有限公司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D6195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D6195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61957" w:rsidRPr="00ED33DE" w:rsidTr="00ED33DE">
        <w:tc>
          <w:tcPr>
            <w:tcW w:w="3794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61957" w:rsidRPr="00ED33DE" w:rsidTr="00ED33DE">
        <w:tc>
          <w:tcPr>
            <w:tcW w:w="3794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61957" w:rsidRPr="00ED33DE" w:rsidTr="00ED33DE">
        <w:tc>
          <w:tcPr>
            <w:tcW w:w="3794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61957" w:rsidRPr="00ED33DE" w:rsidTr="00ED33DE">
        <w:tc>
          <w:tcPr>
            <w:tcW w:w="3794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D61957" w:rsidRPr="00ED33DE" w:rsidTr="00ED33DE">
        <w:tc>
          <w:tcPr>
            <w:tcW w:w="3794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D61957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D6195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D6195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1201ACN/芜湖恒耀汽车零部件有限公司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D61957">
        <w:rPr>
          <w:rFonts w:ascii="宋体" w:hAnsi="宋体" w:hint="eastAsia"/>
          <w:kern w:val="0"/>
          <w:szCs w:val="18"/>
        </w:rPr>
        <w:t>尹同跃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D61957">
        <w:rPr>
          <w:rFonts w:ascii="宋体" w:hAnsi="宋体" w:hint="eastAsia"/>
          <w:kern w:val="0"/>
          <w:szCs w:val="18"/>
        </w:rPr>
        <w:t>安徽省芜湖市经济技术开发区长春路16号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联系电话：</w:t>
      </w:r>
      <w:r w:rsidR="00D61957">
        <w:rPr>
          <w:rFonts w:ascii="宋体" w:hAnsi="宋体" w:hint="eastAsia"/>
          <w:kern w:val="0"/>
          <w:szCs w:val="18"/>
        </w:rPr>
        <w:t>400-883-8888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本清单内容及相关信息可查询本公司官方网站（</w:t>
      </w:r>
      <w:r w:rsidR="00D61957">
        <w:rPr>
          <w:rFonts w:ascii="宋体" w:hAnsi="宋体" w:hint="eastAsia"/>
          <w:szCs w:val="18"/>
        </w:rPr>
        <w:t>http://cv.mychery.com/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和环境保护部机动车和非道路移动机械环保信息公开平台（http://www.vecc-mep.org.cn）。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D61957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headerReference w:type="first" r:id="rId10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57" w:rsidRDefault="00D61957">
      <w:pPr>
        <w:spacing w:line="240" w:lineRule="auto"/>
      </w:pPr>
      <w:r>
        <w:separator/>
      </w:r>
    </w:p>
  </w:endnote>
  <w:endnote w:type="continuationSeparator" w:id="1">
    <w:p w:rsidR="00D61957" w:rsidRDefault="00D61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57" w:rsidRDefault="00D61957">
      <w:pPr>
        <w:spacing w:line="240" w:lineRule="auto"/>
      </w:pPr>
      <w:r>
        <w:separator/>
      </w:r>
    </w:p>
  </w:footnote>
  <w:footnote w:type="continuationSeparator" w:id="1">
    <w:p w:rsidR="00D61957" w:rsidRDefault="00D619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7" o:spid="_x0000_s2056" type="#_x0000_t75" style="position:absolute;left:0;text-align:left;margin-left:0;margin-top:0;width:526.95pt;height:526.95pt;z-index:-251658752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8" o:spid="_x0000_s2057" type="#_x0000_t75" style="position:absolute;left:0;text-align:left;margin-left:0;margin-top:0;width:526.95pt;height:526.95pt;z-index:-251657728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6" o:spid="_x0000_s2055" type="#_x0000_t75" style="position:absolute;left:0;text-align:left;margin-left:0;margin-top:0;width:526.95pt;height:526.95pt;z-index:-251659776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1957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2016-12-30T06:03:00Z</dcterms:created>
  <dcterms:modified xsi:type="dcterms:W3CDTF">2016-12-30T06:03:00Z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